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5887" w14:textId="77777777" w:rsidR="007C553E" w:rsidRPr="00CF23FA" w:rsidRDefault="00FB34D7" w:rsidP="00CF23FA">
      <w:pPr>
        <w:tabs>
          <w:tab w:val="left" w:pos="1240"/>
        </w:tabs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F23FA">
        <w:rPr>
          <w:rFonts w:ascii="Verdana" w:hAnsi="Verdana" w:cs="Arial"/>
          <w:b/>
          <w:bCs/>
          <w:color w:val="000000"/>
          <w:sz w:val="18"/>
          <w:szCs w:val="18"/>
        </w:rPr>
        <w:t>S</w:t>
      </w:r>
      <w:r w:rsidR="00CF23FA">
        <w:rPr>
          <w:rFonts w:ascii="Verdana" w:hAnsi="Verdana" w:cs="Arial"/>
          <w:b/>
          <w:bCs/>
          <w:color w:val="000000"/>
          <w:sz w:val="18"/>
          <w:szCs w:val="18"/>
        </w:rPr>
        <w:t>ISTEMA LEONARDO A PARETE</w:t>
      </w:r>
    </w:p>
    <w:p w14:paraId="0583F73B" w14:textId="77777777" w:rsidR="007C553E" w:rsidRDefault="007C553E" w:rsidP="003533DC">
      <w:pPr>
        <w:tabs>
          <w:tab w:val="left" w:pos="12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Sistema di riscaldamento a parete con pannelli in cartongesso modulari con tubazione già inserita. La temperatura di superficie corrisponde alle esigenze igieniche e fisiologiche rispettando il limite max. di asimmetria radiante pari a 10K (UNI EN ISO 7730); per ambienti residenziali standard l’asimmetria specificata si ha con temperatura superficiale massima della parete pari a </w:t>
      </w:r>
      <w:smartTag w:uri="urn:schemas-microsoft-com:office:smarttags" w:element="metricconverter">
        <w:smartTagPr>
          <w:attr w:name="ProductID" w:val="30ﾰC"/>
        </w:smartTagPr>
        <w:r>
          <w:rPr>
            <w:rFonts w:ascii="Verdana" w:hAnsi="Verdana"/>
            <w:color w:val="000000"/>
            <w:sz w:val="18"/>
            <w:szCs w:val="18"/>
          </w:rPr>
          <w:t>30°C</w:t>
        </w:r>
      </w:smartTag>
      <w:r>
        <w:rPr>
          <w:rFonts w:ascii="Verdana" w:hAnsi="Verdana"/>
          <w:color w:val="000000"/>
          <w:sz w:val="18"/>
          <w:szCs w:val="18"/>
        </w:rPr>
        <w:t xml:space="preserve">. In ogni caso la temperatura superficiale non deve superare i </w:t>
      </w:r>
      <w:smartTag w:uri="urn:schemas-microsoft-com:office:smarttags" w:element="metricconverter">
        <w:smartTagPr>
          <w:attr w:name="ProductID" w:val="40ﾰC"/>
        </w:smartTagPr>
        <w:r>
          <w:rPr>
            <w:rFonts w:ascii="Verdana" w:hAnsi="Verdana"/>
            <w:color w:val="000000"/>
            <w:sz w:val="18"/>
            <w:szCs w:val="18"/>
          </w:rPr>
          <w:t>40°C</w:t>
        </w:r>
      </w:smartTag>
      <w:r>
        <w:rPr>
          <w:rFonts w:ascii="Verdana" w:hAnsi="Verdana"/>
          <w:color w:val="000000"/>
          <w:sz w:val="18"/>
          <w:szCs w:val="18"/>
        </w:rPr>
        <w:t xml:space="preserve"> come prescritto dalla UNI EN 1264-4:2009.</w:t>
      </w:r>
    </w:p>
    <w:p w14:paraId="32B05126" w14:textId="77777777" w:rsidR="007C553E" w:rsidRDefault="007C553E" w:rsidP="003533DC">
      <w:pPr>
        <w:tabs>
          <w:tab w:val="left" w:pos="12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 componenti del sistema devono essere conformi alle norme UNI EN ISO e/o DIN che li riguardano</w:t>
      </w:r>
      <w:r w:rsidR="00CF23FA">
        <w:rPr>
          <w:rFonts w:ascii="Verdana" w:hAnsi="Verdana"/>
          <w:color w:val="000000"/>
          <w:sz w:val="18"/>
          <w:szCs w:val="18"/>
        </w:rPr>
        <w:t>.</w:t>
      </w:r>
    </w:p>
    <w:p w14:paraId="3125F9EB" w14:textId="77777777" w:rsidR="00CF23FA" w:rsidRDefault="00CF23FA">
      <w:pPr>
        <w:tabs>
          <w:tab w:val="left" w:pos="1240"/>
        </w:tabs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CF23FA" w:rsidRPr="00894CD0" w14:paraId="03FE9F92" w14:textId="77777777" w:rsidTr="003533DC">
        <w:tc>
          <w:tcPr>
            <w:tcW w:w="10112" w:type="dxa"/>
            <w:shd w:val="clear" w:color="auto" w:fill="auto"/>
          </w:tcPr>
          <w:p w14:paraId="18F1816B" w14:textId="566D5E32" w:rsidR="00CF23FA" w:rsidRPr="00894CD0" w:rsidRDefault="00492DD2" w:rsidP="003533DC">
            <w:pPr>
              <w:tabs>
                <w:tab w:val="left" w:pos="1240"/>
              </w:tabs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92DD2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 wp14:anchorId="3840DE54" wp14:editId="36A0EB3D">
                  <wp:extent cx="3095625" cy="2867025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C5245" w14:textId="77777777" w:rsidR="001957FB" w:rsidRDefault="001957FB" w:rsidP="001957FB">
      <w:pPr>
        <w:tabs>
          <w:tab w:val="left" w:pos="1240"/>
        </w:tabs>
        <w:jc w:val="both"/>
        <w:rPr>
          <w:rFonts w:ascii="Verdana" w:hAnsi="Verdana" w:cs="Arial"/>
          <w:color w:val="000000"/>
          <w:sz w:val="18"/>
          <w:szCs w:val="18"/>
        </w:rPr>
      </w:pPr>
    </w:p>
    <w:p w14:paraId="572CFDAD" w14:textId="77777777" w:rsidR="009355DD" w:rsidRDefault="001957FB" w:rsidP="003A41F1">
      <w:pPr>
        <w:tabs>
          <w:tab w:val="left" w:pos="1240"/>
        </w:tabs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Il sistema Leonardo a parete è composto dai seguenti elementi:</w:t>
      </w:r>
    </w:p>
    <w:p w14:paraId="740CC32A" w14:textId="77777777" w:rsidR="008A57C6" w:rsidRPr="003533DC" w:rsidRDefault="00442B15" w:rsidP="003533DC">
      <w:pPr>
        <w:numPr>
          <w:ilvl w:val="0"/>
          <w:numId w:val="1"/>
        </w:numPr>
        <w:jc w:val="both"/>
        <w:rPr>
          <w:rFonts w:ascii="Verdana" w:hAnsi="Verdana"/>
          <w:b/>
          <w:bCs/>
          <w:sz w:val="18"/>
        </w:rPr>
      </w:pPr>
      <w:r w:rsidRPr="00320C37">
        <w:rPr>
          <w:rFonts w:ascii="Verdana" w:hAnsi="Verdana"/>
          <w:b/>
          <w:bCs/>
          <w:sz w:val="18"/>
        </w:rPr>
        <w:t xml:space="preserve">Pannello in </w:t>
      </w:r>
      <w:r w:rsidRPr="00941157">
        <w:rPr>
          <w:rFonts w:ascii="Verdana" w:hAnsi="Verdana"/>
          <w:b/>
          <w:bCs/>
          <w:sz w:val="18"/>
        </w:rPr>
        <w:t>cartongesso</w:t>
      </w:r>
      <w:r w:rsidR="00941157" w:rsidRPr="003533DC">
        <w:rPr>
          <w:rFonts w:ascii="Verdana" w:hAnsi="Verdana"/>
          <w:b/>
          <w:bCs/>
          <w:sz w:val="18"/>
        </w:rPr>
        <w:t xml:space="preserve"> per parete</w:t>
      </w:r>
    </w:p>
    <w:p w14:paraId="28A822FD" w14:textId="77777777" w:rsidR="00442B15" w:rsidRPr="00320C37" w:rsidRDefault="008A57C6" w:rsidP="003533DC">
      <w:pPr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pannello </w:t>
      </w:r>
      <w:r w:rsidR="00442B15" w:rsidRPr="00320C37">
        <w:rPr>
          <w:rFonts w:ascii="Verdana" w:hAnsi="Verdana"/>
          <w:sz w:val="18"/>
        </w:rPr>
        <w:t xml:space="preserve">da </w:t>
      </w:r>
      <w:smartTag w:uri="urn:schemas-microsoft-com:office:smarttags" w:element="metricconverter">
        <w:smartTagPr>
          <w:attr w:name="ProductID" w:val="25 mm"/>
        </w:smartTagPr>
        <w:r w:rsidR="00442B15" w:rsidRPr="00320C37">
          <w:rPr>
            <w:rFonts w:ascii="Verdana" w:hAnsi="Verdana"/>
            <w:sz w:val="18"/>
          </w:rPr>
          <w:t>25 mm</w:t>
        </w:r>
      </w:smartTag>
      <w:r w:rsidR="00442B15" w:rsidRPr="00320C37">
        <w:rPr>
          <w:rFonts w:ascii="Verdana" w:hAnsi="Verdana"/>
          <w:sz w:val="18"/>
        </w:rPr>
        <w:t xml:space="preserve"> prefinito per il montaggio a parete</w:t>
      </w:r>
      <w:r w:rsidR="00377FB6">
        <w:rPr>
          <w:rFonts w:ascii="Verdana" w:hAnsi="Verdana"/>
          <w:sz w:val="18"/>
        </w:rPr>
        <w:t xml:space="preserve">. </w:t>
      </w:r>
      <w:r w:rsidR="00377FB6">
        <w:rPr>
          <w:rFonts w:ascii="Verdana" w:hAnsi="Verdana"/>
          <w:color w:val="000000"/>
          <w:sz w:val="18"/>
          <w:szCs w:val="18"/>
        </w:rPr>
        <w:t>Devono essere indicati i punti dove è possibile forare e avvitare i pannelli ai montanti della struttura metallica predisposta dal cartongessista; il pannello deve avere la tubazione rimovibile dalla sua posizione in modo da consentire di adattare la situazione alle variabili di cantiere (ad es. predisposizione da parte dell’elettricista di punti luce) e in modo da massimizzare la superficie radiante</w:t>
      </w:r>
      <w:r w:rsidR="00442B15" w:rsidRPr="00320C37">
        <w:rPr>
          <w:rFonts w:ascii="Verdana" w:hAnsi="Verdana"/>
          <w:sz w:val="18"/>
        </w:rPr>
        <w:t xml:space="preserve"> completo di tubazione  in polietilene resistente alle alte temperature PE-RT del tipo II MidiX Plus (ISO 22391, ISO 24033, ISO 21003,</w:t>
      </w:r>
      <w:r w:rsidR="00442B15">
        <w:rPr>
          <w:rFonts w:ascii="Verdana" w:hAnsi="Verdana"/>
          <w:sz w:val="18"/>
        </w:rPr>
        <w:t xml:space="preserve"> UNI </w:t>
      </w:r>
      <w:r w:rsidR="00442B15" w:rsidRPr="00320C37">
        <w:rPr>
          <w:rFonts w:ascii="Verdana" w:hAnsi="Verdana"/>
          <w:sz w:val="18"/>
        </w:rPr>
        <w:t xml:space="preserve">EN 1264, BRL 5602, BRL 5607, DIN 4726, ISO EN 11855) con barriera all'ossigeno in EVOH nello spessore del tubo e permeabilità al vapore inferiore a 0,32 mg/(m²d) a </w:t>
      </w:r>
      <w:smartTag w:uri="urn:schemas-microsoft-com:office:smarttags" w:element="metricconverter">
        <w:smartTagPr>
          <w:attr w:name="ProductID" w:val="40ﾰC"/>
        </w:smartTagPr>
        <w:r w:rsidR="00442B15" w:rsidRPr="00320C37">
          <w:rPr>
            <w:rFonts w:ascii="Verdana" w:hAnsi="Verdana"/>
            <w:sz w:val="18"/>
          </w:rPr>
          <w:t>40°C</w:t>
        </w:r>
      </w:smartTag>
      <w:r w:rsidR="00442B15" w:rsidRPr="00320C37">
        <w:rPr>
          <w:rFonts w:ascii="Verdana" w:hAnsi="Verdana"/>
          <w:sz w:val="18"/>
        </w:rPr>
        <w:t xml:space="preserve"> ed a 3,6 mg/(m²d) a </w:t>
      </w:r>
      <w:smartTag w:uri="urn:schemas-microsoft-com:office:smarttags" w:element="metricconverter">
        <w:smartTagPr>
          <w:attr w:name="ProductID" w:val="80ﾰC"/>
        </w:smartTagPr>
        <w:r w:rsidR="00442B15" w:rsidRPr="00320C37">
          <w:rPr>
            <w:rFonts w:ascii="Verdana" w:hAnsi="Verdana"/>
            <w:sz w:val="18"/>
          </w:rPr>
          <w:t>80°C</w:t>
        </w:r>
      </w:smartTag>
      <w:r w:rsidR="00442B15" w:rsidRPr="00320C37">
        <w:rPr>
          <w:rFonts w:ascii="Verdana" w:hAnsi="Verdana"/>
          <w:sz w:val="18"/>
        </w:rPr>
        <w:t xml:space="preserve"> testata secondo normativa ISO 17455 in corrispondenza alle normative BRL 5602 - BRL 5607 - DIN 4726 - EN 1264-4 e ISO EN 11855, caratteristiche di resistenza meccanica che lo rendono appartenente alle classi 4 e 5 a 6 bar (ISO 10508) per una vita prevista di 50 anni; la tubazione è disposta a serpentina con andamento serpeggiante in modo da massimizzare la superficie di scambio tra tubazione e cartongesso; diametro </w:t>
      </w:r>
      <w:smartTag w:uri="urn:schemas-microsoft-com:office:smarttags" w:element="metricconverter">
        <w:smartTagPr>
          <w:attr w:name="ProductID" w:val="10 mm"/>
        </w:smartTagPr>
        <w:r w:rsidR="00442B15" w:rsidRPr="00320C37">
          <w:rPr>
            <w:rFonts w:ascii="Verdana" w:hAnsi="Verdana"/>
            <w:sz w:val="18"/>
          </w:rPr>
          <w:t>10 mm</w:t>
        </w:r>
      </w:smartTag>
      <w:r w:rsidR="00442B15" w:rsidRPr="00320C37">
        <w:rPr>
          <w:rFonts w:ascii="Verdana" w:hAnsi="Verdana"/>
          <w:sz w:val="18"/>
        </w:rPr>
        <w:t xml:space="preserve"> e spessore pari a </w:t>
      </w:r>
      <w:smartTag w:uri="urn:schemas-microsoft-com:office:smarttags" w:element="metricconverter">
        <w:smartTagPr>
          <w:attr w:name="ProductID" w:val="1,3 mm"/>
        </w:smartTagPr>
        <w:r w:rsidR="00442B15" w:rsidRPr="00320C37">
          <w:rPr>
            <w:rFonts w:ascii="Verdana" w:hAnsi="Verdana"/>
            <w:sz w:val="18"/>
          </w:rPr>
          <w:t>1,3 mm</w:t>
        </w:r>
      </w:smartTag>
      <w:r w:rsidR="00442B15" w:rsidRPr="00320C37">
        <w:rPr>
          <w:rFonts w:ascii="Verdana" w:hAnsi="Verdana"/>
          <w:sz w:val="18"/>
        </w:rPr>
        <w:t xml:space="preserve"> (UNI EN 1264-4). Finitura liscia. Disponibile nelle seguenti misure:</w:t>
      </w:r>
    </w:p>
    <w:p w14:paraId="5552F9C8" w14:textId="77777777" w:rsidR="00442B15" w:rsidRPr="00320C37" w:rsidRDefault="00442B15" w:rsidP="003533DC">
      <w:pPr>
        <w:ind w:firstLine="708"/>
        <w:jc w:val="both"/>
        <w:rPr>
          <w:rFonts w:ascii="Verdana" w:hAnsi="Verdana"/>
          <w:sz w:val="18"/>
        </w:rPr>
      </w:pPr>
      <w:r w:rsidRPr="00320C37">
        <w:rPr>
          <w:rFonts w:ascii="Verdana" w:hAnsi="Verdana"/>
          <w:sz w:val="18"/>
        </w:rPr>
        <w:lastRenderedPageBreak/>
        <w:t>600x2500x25mm</w:t>
      </w:r>
      <w:r>
        <w:rPr>
          <w:rFonts w:ascii="Verdana" w:hAnsi="Verdana"/>
          <w:sz w:val="18"/>
        </w:rPr>
        <w:t xml:space="preserve">, cod. </w:t>
      </w:r>
      <w:r w:rsidRPr="0095542E">
        <w:rPr>
          <w:rFonts w:ascii="Verdana" w:hAnsi="Verdana"/>
          <w:sz w:val="18"/>
        </w:rPr>
        <w:t>6215010105</w:t>
      </w:r>
      <w:r>
        <w:rPr>
          <w:rFonts w:ascii="Verdana" w:hAnsi="Verdana"/>
          <w:sz w:val="18"/>
        </w:rPr>
        <w:t>,</w:t>
      </w:r>
      <w:r w:rsidRPr="00320C37">
        <w:rPr>
          <w:rFonts w:ascii="Verdana" w:hAnsi="Verdana"/>
          <w:sz w:val="18"/>
        </w:rPr>
        <w:t xml:space="preserve"> lunghezza tubazione inserita </w:t>
      </w:r>
      <w:smartTag w:uri="urn:schemas-microsoft-com:office:smarttags" w:element="metricconverter">
        <w:smartTagPr>
          <w:attr w:name="ProductID" w:val="20 m"/>
        </w:smartTagPr>
        <w:r w:rsidRPr="00320C37">
          <w:rPr>
            <w:rFonts w:ascii="Verdana" w:hAnsi="Verdana"/>
            <w:sz w:val="18"/>
          </w:rPr>
          <w:t>20 m</w:t>
        </w:r>
      </w:smartTag>
      <w:r w:rsidRPr="00320C37">
        <w:rPr>
          <w:rFonts w:ascii="Verdana" w:hAnsi="Verdana"/>
          <w:sz w:val="18"/>
        </w:rPr>
        <w:t>;</w:t>
      </w:r>
    </w:p>
    <w:p w14:paraId="6B455E7F" w14:textId="77777777" w:rsidR="00442B15" w:rsidRPr="00320C37" w:rsidRDefault="00442B15" w:rsidP="003533DC">
      <w:pPr>
        <w:ind w:firstLine="708"/>
        <w:jc w:val="both"/>
        <w:rPr>
          <w:rFonts w:ascii="Verdana" w:hAnsi="Verdana"/>
          <w:sz w:val="18"/>
        </w:rPr>
      </w:pPr>
      <w:r w:rsidRPr="00320C37">
        <w:rPr>
          <w:rFonts w:ascii="Verdana" w:hAnsi="Verdana"/>
          <w:sz w:val="18"/>
        </w:rPr>
        <w:t>600x2</w:t>
      </w:r>
      <w:r>
        <w:rPr>
          <w:rFonts w:ascii="Verdana" w:hAnsi="Verdana"/>
          <w:sz w:val="18"/>
        </w:rPr>
        <w:t>5</w:t>
      </w:r>
      <w:r w:rsidRPr="00320C37">
        <w:rPr>
          <w:rFonts w:ascii="Verdana" w:hAnsi="Verdana"/>
          <w:sz w:val="18"/>
        </w:rPr>
        <w:t>00</w:t>
      </w:r>
      <w:r>
        <w:rPr>
          <w:rFonts w:ascii="Verdana" w:hAnsi="Verdana"/>
          <w:sz w:val="18"/>
        </w:rPr>
        <w:t>(2000)</w:t>
      </w:r>
      <w:r w:rsidRPr="00320C37">
        <w:rPr>
          <w:rFonts w:ascii="Verdana" w:hAnsi="Verdana"/>
          <w:sz w:val="18"/>
        </w:rPr>
        <w:t>x25mm</w:t>
      </w:r>
      <w:r w:rsidR="00E643AB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cod. </w:t>
      </w:r>
      <w:r w:rsidRPr="0095542E">
        <w:rPr>
          <w:rFonts w:ascii="Verdana" w:hAnsi="Verdana"/>
          <w:sz w:val="18"/>
        </w:rPr>
        <w:t>621501010</w:t>
      </w:r>
      <w:r>
        <w:rPr>
          <w:rFonts w:ascii="Verdana" w:hAnsi="Verdana"/>
          <w:sz w:val="18"/>
        </w:rPr>
        <w:t>1,</w:t>
      </w:r>
      <w:r w:rsidRPr="00320C37">
        <w:rPr>
          <w:rFonts w:ascii="Verdana" w:hAnsi="Verdana"/>
          <w:sz w:val="18"/>
        </w:rPr>
        <w:t xml:space="preserve"> lunghezza tubazione inserita </w:t>
      </w:r>
      <w:smartTag w:uri="urn:schemas-microsoft-com:office:smarttags" w:element="metricconverter">
        <w:smartTagPr>
          <w:attr w:name="ProductID" w:val="16 m"/>
        </w:smartTagPr>
        <w:r w:rsidRPr="00320C37">
          <w:rPr>
            <w:rFonts w:ascii="Verdana" w:hAnsi="Verdana"/>
            <w:sz w:val="18"/>
          </w:rPr>
          <w:t>16 m</w:t>
        </w:r>
      </w:smartTag>
      <w:r w:rsidRPr="00320C37">
        <w:rPr>
          <w:rFonts w:ascii="Verdana" w:hAnsi="Verdana"/>
          <w:sz w:val="18"/>
        </w:rPr>
        <w:t>;</w:t>
      </w:r>
    </w:p>
    <w:p w14:paraId="5F471D1B" w14:textId="77777777" w:rsidR="00442B15" w:rsidRPr="00320C37" w:rsidRDefault="00442B15" w:rsidP="003533DC">
      <w:pPr>
        <w:ind w:firstLine="708"/>
        <w:jc w:val="both"/>
        <w:rPr>
          <w:rFonts w:ascii="Verdana" w:hAnsi="Verdana"/>
          <w:sz w:val="18"/>
        </w:rPr>
      </w:pPr>
      <w:r w:rsidRPr="00320C37">
        <w:rPr>
          <w:rFonts w:ascii="Verdana" w:hAnsi="Verdana"/>
          <w:sz w:val="18"/>
        </w:rPr>
        <w:t>600x2</w:t>
      </w:r>
      <w:r>
        <w:rPr>
          <w:rFonts w:ascii="Verdana" w:hAnsi="Verdana"/>
          <w:sz w:val="18"/>
        </w:rPr>
        <w:t>5</w:t>
      </w:r>
      <w:r w:rsidRPr="00320C37">
        <w:rPr>
          <w:rFonts w:ascii="Verdana" w:hAnsi="Verdana"/>
          <w:sz w:val="18"/>
        </w:rPr>
        <w:t>00(1</w:t>
      </w:r>
      <w:r>
        <w:rPr>
          <w:rFonts w:ascii="Verdana" w:hAnsi="Verdana"/>
          <w:sz w:val="18"/>
        </w:rPr>
        <w:t>7</w:t>
      </w:r>
      <w:r w:rsidRPr="00320C37">
        <w:rPr>
          <w:rFonts w:ascii="Verdana" w:hAnsi="Verdana"/>
          <w:sz w:val="18"/>
        </w:rPr>
        <w:t>00)x25mm</w:t>
      </w:r>
      <w:r w:rsidR="00E643AB">
        <w:rPr>
          <w:rFonts w:ascii="Verdana" w:hAnsi="Verdana"/>
          <w:sz w:val="18"/>
        </w:rPr>
        <w:t>,</w:t>
      </w:r>
      <w:r w:rsidRPr="002246DD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cod. </w:t>
      </w:r>
      <w:r w:rsidRPr="0095542E">
        <w:rPr>
          <w:rFonts w:ascii="Verdana" w:hAnsi="Verdana"/>
          <w:sz w:val="18"/>
        </w:rPr>
        <w:t>621501010</w:t>
      </w:r>
      <w:r>
        <w:rPr>
          <w:rFonts w:ascii="Verdana" w:hAnsi="Verdana"/>
          <w:sz w:val="18"/>
        </w:rPr>
        <w:t xml:space="preserve">6, </w:t>
      </w:r>
      <w:r w:rsidRPr="00320C37">
        <w:rPr>
          <w:rFonts w:ascii="Verdana" w:hAnsi="Verdana"/>
          <w:sz w:val="18"/>
        </w:rPr>
        <w:t xml:space="preserve">lunghezza tubazione inserita </w:t>
      </w:r>
      <w:smartTag w:uri="urn:schemas-microsoft-com:office:smarttags" w:element="metricconverter">
        <w:smartTagPr>
          <w:attr w:name="ProductID" w:val="12 m"/>
        </w:smartTagPr>
        <w:r w:rsidRPr="00320C37">
          <w:rPr>
            <w:rFonts w:ascii="Verdana" w:hAnsi="Verdana"/>
            <w:sz w:val="18"/>
          </w:rPr>
          <w:t>12 m</w:t>
        </w:r>
      </w:smartTag>
      <w:r w:rsidRPr="00320C37">
        <w:rPr>
          <w:rFonts w:ascii="Verdana" w:hAnsi="Verdana"/>
          <w:sz w:val="18"/>
        </w:rPr>
        <w:t>;</w:t>
      </w:r>
    </w:p>
    <w:p w14:paraId="46346F19" w14:textId="77777777" w:rsidR="00442B15" w:rsidRPr="00320C37" w:rsidRDefault="00442B15" w:rsidP="003533DC">
      <w:pPr>
        <w:ind w:firstLine="708"/>
        <w:jc w:val="both"/>
        <w:rPr>
          <w:rFonts w:ascii="Verdana" w:hAnsi="Verdana"/>
          <w:sz w:val="18"/>
        </w:rPr>
      </w:pPr>
      <w:r w:rsidRPr="00320C37">
        <w:rPr>
          <w:rFonts w:ascii="Verdana" w:hAnsi="Verdana"/>
          <w:sz w:val="18"/>
        </w:rPr>
        <w:t>600x2000x25mm</w:t>
      </w:r>
      <w:r w:rsidR="00E643AB">
        <w:rPr>
          <w:rFonts w:ascii="Verdana" w:hAnsi="Verdana"/>
          <w:sz w:val="18"/>
        </w:rPr>
        <w:t xml:space="preserve">, </w:t>
      </w:r>
      <w:r>
        <w:rPr>
          <w:rFonts w:ascii="Verdana" w:hAnsi="Verdana"/>
          <w:sz w:val="18"/>
        </w:rPr>
        <w:t xml:space="preserve">cod. </w:t>
      </w:r>
      <w:r w:rsidRPr="0095542E">
        <w:rPr>
          <w:rFonts w:ascii="Verdana" w:hAnsi="Verdana"/>
          <w:sz w:val="18"/>
        </w:rPr>
        <w:t>621501010</w:t>
      </w:r>
      <w:r>
        <w:rPr>
          <w:rFonts w:ascii="Verdana" w:hAnsi="Verdana"/>
          <w:sz w:val="18"/>
        </w:rPr>
        <w:t>3,</w:t>
      </w:r>
      <w:r w:rsidRPr="00320C37">
        <w:rPr>
          <w:rFonts w:ascii="Verdana" w:hAnsi="Verdana"/>
          <w:sz w:val="18"/>
        </w:rPr>
        <w:t xml:space="preserve"> lunghezza tubazione inserita </w:t>
      </w:r>
      <w:smartTag w:uri="urn:schemas-microsoft-com:office:smarttags" w:element="metricconverter">
        <w:smartTagPr>
          <w:attr w:name="ProductID" w:val="11,5 m"/>
        </w:smartTagPr>
        <w:r w:rsidRPr="00320C37">
          <w:rPr>
            <w:rFonts w:ascii="Verdana" w:hAnsi="Verdana"/>
            <w:sz w:val="18"/>
          </w:rPr>
          <w:t>11,5 m</w:t>
        </w:r>
      </w:smartTag>
      <w:r w:rsidRPr="00320C37">
        <w:rPr>
          <w:rFonts w:ascii="Verdana" w:hAnsi="Verdana"/>
          <w:sz w:val="18"/>
        </w:rPr>
        <w:t>;</w:t>
      </w:r>
    </w:p>
    <w:p w14:paraId="6496E733" w14:textId="77777777" w:rsidR="00442B15" w:rsidRPr="00320C37" w:rsidRDefault="00442B15" w:rsidP="003533DC">
      <w:pPr>
        <w:ind w:firstLine="708"/>
        <w:jc w:val="both"/>
        <w:rPr>
          <w:rFonts w:ascii="Verdana" w:hAnsi="Verdana"/>
          <w:sz w:val="18"/>
        </w:rPr>
      </w:pPr>
      <w:r w:rsidRPr="00320C37">
        <w:rPr>
          <w:rFonts w:ascii="Verdana" w:hAnsi="Verdana"/>
          <w:sz w:val="18"/>
        </w:rPr>
        <w:t>600x2</w:t>
      </w:r>
      <w:r>
        <w:rPr>
          <w:rFonts w:ascii="Verdana" w:hAnsi="Verdana"/>
          <w:sz w:val="18"/>
        </w:rPr>
        <w:t>0</w:t>
      </w:r>
      <w:r w:rsidRPr="00320C37">
        <w:rPr>
          <w:rFonts w:ascii="Verdana" w:hAnsi="Verdana"/>
          <w:sz w:val="18"/>
        </w:rPr>
        <w:t>00(</w:t>
      </w:r>
      <w:r>
        <w:rPr>
          <w:rFonts w:ascii="Verdana" w:hAnsi="Verdana"/>
          <w:sz w:val="18"/>
        </w:rPr>
        <w:t>15</w:t>
      </w:r>
      <w:r w:rsidRPr="00320C37">
        <w:rPr>
          <w:rFonts w:ascii="Verdana" w:hAnsi="Verdana"/>
          <w:sz w:val="18"/>
        </w:rPr>
        <w:t>00)x25mm;</w:t>
      </w:r>
      <w:r>
        <w:rPr>
          <w:rFonts w:ascii="Verdana" w:hAnsi="Verdana"/>
          <w:sz w:val="18"/>
        </w:rPr>
        <w:t xml:space="preserve"> cod. </w:t>
      </w:r>
      <w:r w:rsidRPr="0095542E">
        <w:rPr>
          <w:rFonts w:ascii="Verdana" w:hAnsi="Verdana"/>
          <w:sz w:val="18"/>
        </w:rPr>
        <w:t>621501010</w:t>
      </w:r>
      <w:r>
        <w:rPr>
          <w:rFonts w:ascii="Verdana" w:hAnsi="Verdana"/>
          <w:sz w:val="18"/>
        </w:rPr>
        <w:t>4,</w:t>
      </w:r>
      <w:r w:rsidRPr="00320C37">
        <w:rPr>
          <w:rFonts w:ascii="Verdana" w:hAnsi="Verdana"/>
          <w:sz w:val="18"/>
        </w:rPr>
        <w:t xml:space="preserve"> lunghezza tubazione inserita </w:t>
      </w:r>
      <w:smartTag w:uri="urn:schemas-microsoft-com:office:smarttags" w:element="metricconverter">
        <w:smartTagPr>
          <w:attr w:name="ProductID" w:val="16 m"/>
        </w:smartTagPr>
        <w:r w:rsidRPr="00320C37">
          <w:rPr>
            <w:rFonts w:ascii="Verdana" w:hAnsi="Verdana"/>
            <w:sz w:val="18"/>
          </w:rPr>
          <w:t>16 m</w:t>
        </w:r>
      </w:smartTag>
      <w:r w:rsidRPr="00320C37">
        <w:rPr>
          <w:rFonts w:ascii="Verdana" w:hAnsi="Verdana"/>
          <w:sz w:val="18"/>
        </w:rPr>
        <w:t>;</w:t>
      </w:r>
    </w:p>
    <w:p w14:paraId="0C30768F" w14:textId="77777777" w:rsidR="00442B15" w:rsidRDefault="00442B15" w:rsidP="003533DC">
      <w:pPr>
        <w:ind w:firstLine="708"/>
        <w:jc w:val="both"/>
        <w:rPr>
          <w:rFonts w:ascii="Verdana" w:hAnsi="Verdana"/>
          <w:sz w:val="18"/>
        </w:rPr>
      </w:pPr>
      <w:r w:rsidRPr="00320C37">
        <w:rPr>
          <w:rFonts w:ascii="Verdana" w:hAnsi="Verdana"/>
          <w:sz w:val="18"/>
        </w:rPr>
        <w:t>600x2</w:t>
      </w:r>
      <w:r>
        <w:rPr>
          <w:rFonts w:ascii="Verdana" w:hAnsi="Verdana"/>
          <w:sz w:val="18"/>
        </w:rPr>
        <w:t>0</w:t>
      </w:r>
      <w:r w:rsidRPr="00320C37">
        <w:rPr>
          <w:rFonts w:ascii="Verdana" w:hAnsi="Verdana"/>
          <w:sz w:val="18"/>
        </w:rPr>
        <w:t>00(1</w:t>
      </w:r>
      <w:r>
        <w:rPr>
          <w:rFonts w:ascii="Verdana" w:hAnsi="Verdana"/>
          <w:sz w:val="18"/>
        </w:rPr>
        <w:t>2</w:t>
      </w:r>
      <w:r w:rsidRPr="00320C37">
        <w:rPr>
          <w:rFonts w:ascii="Verdana" w:hAnsi="Verdana"/>
          <w:sz w:val="18"/>
        </w:rPr>
        <w:t>00)x25mm;</w:t>
      </w:r>
      <w:r w:rsidR="00E643AB">
        <w:rPr>
          <w:rFonts w:ascii="Verdana" w:hAnsi="Verdana"/>
          <w:sz w:val="18"/>
        </w:rPr>
        <w:t xml:space="preserve"> cod.6215010104,</w:t>
      </w:r>
      <w:r w:rsidRPr="00320C37">
        <w:rPr>
          <w:rFonts w:ascii="Verdana" w:hAnsi="Verdana"/>
          <w:sz w:val="18"/>
        </w:rPr>
        <w:t xml:space="preserve"> lunghezza tubazione inserita </w:t>
      </w:r>
      <w:smartTag w:uri="urn:schemas-microsoft-com:office:smarttags" w:element="metricconverter">
        <w:smartTagPr>
          <w:attr w:name="ProductID" w:val="15,5 m"/>
        </w:smartTagPr>
        <w:r w:rsidRPr="00320C37">
          <w:rPr>
            <w:rFonts w:ascii="Verdana" w:hAnsi="Verdana"/>
            <w:sz w:val="18"/>
          </w:rPr>
          <w:t>15,5 m</w:t>
        </w:r>
      </w:smartTag>
      <w:r w:rsidRPr="00320C37">
        <w:rPr>
          <w:rFonts w:ascii="Verdana" w:hAnsi="Verdana"/>
          <w:sz w:val="18"/>
        </w:rPr>
        <w:t>;</w:t>
      </w:r>
    </w:p>
    <w:p w14:paraId="3A40F60F" w14:textId="77777777" w:rsidR="00526B59" w:rsidRPr="003533DC" w:rsidRDefault="00526B59" w:rsidP="003533DC">
      <w:pPr>
        <w:numPr>
          <w:ilvl w:val="0"/>
          <w:numId w:val="2"/>
        </w:numPr>
        <w:tabs>
          <w:tab w:val="left" w:pos="709"/>
        </w:tabs>
        <w:jc w:val="both"/>
        <w:rPr>
          <w:rFonts w:ascii="Verdana" w:hAnsi="Verdana"/>
          <w:b/>
          <w:bCs/>
          <w:sz w:val="18"/>
        </w:rPr>
      </w:pPr>
      <w:r w:rsidRPr="003533DC">
        <w:rPr>
          <w:rFonts w:ascii="Verdana" w:hAnsi="Verdana"/>
          <w:b/>
          <w:bCs/>
          <w:sz w:val="18"/>
        </w:rPr>
        <w:t>Tubazione multistrato preisolata 20 x 2,0 mm di colore rosso</w:t>
      </w:r>
    </w:p>
    <w:p w14:paraId="692C7A6F" w14:textId="77777777" w:rsidR="00526B59" w:rsidRPr="003533DC" w:rsidRDefault="00526B59" w:rsidP="003533DC">
      <w:pPr>
        <w:tabs>
          <w:tab w:val="left" w:pos="709"/>
        </w:tabs>
        <w:ind w:left="720"/>
        <w:jc w:val="both"/>
        <w:rPr>
          <w:rFonts w:ascii="Verdana" w:hAnsi="Verdana"/>
          <w:sz w:val="18"/>
        </w:rPr>
      </w:pPr>
      <w:r w:rsidRPr="003533DC">
        <w:rPr>
          <w:rFonts w:ascii="Verdana" w:hAnsi="Verdana"/>
          <w:sz w:val="18"/>
        </w:rPr>
        <w:t xml:space="preserve">completa di guaina isolante di colore rosso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21003-5, </w:t>
      </w:r>
    </w:p>
    <w:p w14:paraId="6A61DE1F" w14:textId="77777777" w:rsidR="00526B59" w:rsidRPr="003533DC" w:rsidRDefault="00526B59" w:rsidP="003533DC">
      <w:pPr>
        <w:autoSpaceDE w:val="0"/>
        <w:autoSpaceDN w:val="0"/>
        <w:adjustRightInd w:val="0"/>
        <w:ind w:left="720"/>
        <w:jc w:val="both"/>
        <w:rPr>
          <w:rFonts w:ascii="Verdana" w:hAnsi="Verdana"/>
          <w:sz w:val="18"/>
        </w:rPr>
      </w:pPr>
      <w:r w:rsidRPr="003533DC">
        <w:rPr>
          <w:rFonts w:ascii="Verdana" w:hAnsi="Verdana"/>
          <w:sz w:val="18"/>
        </w:rPr>
        <w:t xml:space="preserve">diametro 20x2 mm, 50 m, cod. 2112200220 tubo multistrato riv. colore rosso </w:t>
      </w:r>
    </w:p>
    <w:p w14:paraId="47933762" w14:textId="77777777" w:rsidR="00526B59" w:rsidRPr="003533DC" w:rsidRDefault="00526B59" w:rsidP="003533DC">
      <w:pPr>
        <w:numPr>
          <w:ilvl w:val="0"/>
          <w:numId w:val="2"/>
        </w:numPr>
        <w:jc w:val="both"/>
        <w:rPr>
          <w:rFonts w:ascii="Verdana" w:hAnsi="Verdana"/>
          <w:b/>
          <w:bCs/>
          <w:sz w:val="18"/>
        </w:rPr>
      </w:pPr>
      <w:r w:rsidRPr="003533DC">
        <w:rPr>
          <w:rFonts w:ascii="Verdana" w:hAnsi="Verdana"/>
          <w:b/>
          <w:bCs/>
          <w:sz w:val="18"/>
        </w:rPr>
        <w:t xml:space="preserve">Tubazione multistrato preisolata 20 x 2,0 mm di colore blu </w:t>
      </w:r>
    </w:p>
    <w:p w14:paraId="75C0888F" w14:textId="77777777" w:rsidR="00526B59" w:rsidRPr="003533DC" w:rsidRDefault="00526B59" w:rsidP="003533DC">
      <w:pPr>
        <w:ind w:left="708"/>
        <w:jc w:val="both"/>
        <w:rPr>
          <w:rFonts w:ascii="Verdana" w:hAnsi="Verdana"/>
          <w:sz w:val="18"/>
        </w:rPr>
      </w:pPr>
      <w:r w:rsidRPr="003533DC">
        <w:rPr>
          <w:rFonts w:ascii="Verdana" w:hAnsi="Verdana"/>
          <w:sz w:val="18"/>
        </w:rPr>
        <w:t>completa di guaina isolante di colore blu di spessore 9 mm in PE-RT tipo II (PE-RT II/AL/PE-RT II) (EN ISO 21003), con caratteristiche di resistenza meccanica che lo rendono appartenente alle classi 1,2, 4 e 5 a 10 bar, è impermeabile all’ossigeno secondo norma DIN 16836 e risponde alle prescrizioni della norma EN ISO 11855 e UNI EN 1264-4, con certificazione della tenuta delle connessioni idrauliche secondo EN ISO 21003-5</w:t>
      </w:r>
      <w:r w:rsidR="003A41F1">
        <w:rPr>
          <w:rFonts w:ascii="Verdana" w:hAnsi="Verdana"/>
          <w:sz w:val="18"/>
        </w:rPr>
        <w:t>;</w:t>
      </w:r>
    </w:p>
    <w:p w14:paraId="7643CD9B" w14:textId="77777777" w:rsidR="00526B59" w:rsidRPr="003533DC" w:rsidRDefault="00526B59" w:rsidP="003533DC">
      <w:pPr>
        <w:ind w:firstLine="708"/>
        <w:jc w:val="both"/>
        <w:rPr>
          <w:rFonts w:ascii="Verdana" w:hAnsi="Verdana"/>
          <w:sz w:val="18"/>
        </w:rPr>
      </w:pPr>
      <w:r w:rsidRPr="003533DC">
        <w:rPr>
          <w:rFonts w:ascii="Verdana" w:hAnsi="Verdana"/>
          <w:sz w:val="18"/>
        </w:rPr>
        <w:t>diametro 20x2 mm, 50 m, cod. 2112200120 tubo multistrato riv. colore blu</w:t>
      </w:r>
      <w:r w:rsidR="003A41F1">
        <w:rPr>
          <w:rFonts w:ascii="Verdana" w:hAnsi="Verdana"/>
          <w:sz w:val="18"/>
        </w:rPr>
        <w:t>;</w:t>
      </w:r>
    </w:p>
    <w:p w14:paraId="2233B6A9" w14:textId="77777777" w:rsidR="00526B59" w:rsidRPr="003533DC" w:rsidRDefault="00526B59" w:rsidP="003533DC">
      <w:pPr>
        <w:numPr>
          <w:ilvl w:val="0"/>
          <w:numId w:val="2"/>
        </w:numPr>
        <w:tabs>
          <w:tab w:val="left" w:pos="709"/>
        </w:tabs>
        <w:jc w:val="both"/>
        <w:rPr>
          <w:rFonts w:ascii="Verdana" w:hAnsi="Verdana"/>
          <w:b/>
          <w:bCs/>
          <w:sz w:val="18"/>
        </w:rPr>
      </w:pPr>
      <w:r w:rsidRPr="003533DC">
        <w:rPr>
          <w:rFonts w:ascii="Verdana" w:hAnsi="Verdana"/>
          <w:b/>
          <w:bCs/>
          <w:sz w:val="18"/>
        </w:rPr>
        <w:t>Linea aggiuntiva con tubazione multistrato 20 x 2,0 mm + anelli + term.</w:t>
      </w:r>
    </w:p>
    <w:p w14:paraId="34F334E8" w14:textId="77777777" w:rsidR="00526B59" w:rsidRPr="003533DC" w:rsidRDefault="00526B59" w:rsidP="003533DC">
      <w:pPr>
        <w:tabs>
          <w:tab w:val="left" w:pos="709"/>
        </w:tabs>
        <w:ind w:left="720"/>
        <w:jc w:val="both"/>
        <w:rPr>
          <w:rFonts w:ascii="Verdana" w:hAnsi="Verdana"/>
          <w:sz w:val="18"/>
        </w:rPr>
      </w:pPr>
      <w:r w:rsidRPr="003533DC">
        <w:rPr>
          <w:rFonts w:ascii="Verdana" w:hAnsi="Verdana"/>
          <w:sz w:val="18"/>
        </w:rPr>
        <w:t>in PE-RT tipo II (PE-RT II/AL/PE-RT II) (EN ISO 21003), tappata, pre-espansa e completa di anelli per il collegamento idraulico dei pannelli con le linee di adduzione principali, con caratteristiche di resistenza meccanica che lo rendono appartenente alle classi 1, 2, 4 e 5 a 10 bar, è impermeabile all’ossigeno secondo norma DIN 16836 e risponde alle prescrizioni della norma EN ISO 11855 e UNI EN 1264-4, con certificazione della tenuta delle connessioni idrauliche secondo EN ISO 21003-5. Fornita in barre da 2m utili per completare la linea di alimentazione dei pannelli Leonardo nel caso la loro messa in opera richieda una linea aggiuntiva a quella già fornita con i pannelli</w:t>
      </w:r>
      <w:r w:rsidR="003A41F1">
        <w:rPr>
          <w:rFonts w:ascii="Verdana" w:hAnsi="Verdana"/>
          <w:sz w:val="18"/>
        </w:rPr>
        <w:t>;</w:t>
      </w:r>
    </w:p>
    <w:p w14:paraId="71417501" w14:textId="77777777" w:rsidR="00526B59" w:rsidRPr="003533DC" w:rsidRDefault="00526B59" w:rsidP="003533DC">
      <w:pPr>
        <w:tabs>
          <w:tab w:val="left" w:pos="709"/>
        </w:tabs>
        <w:ind w:left="720"/>
        <w:jc w:val="both"/>
        <w:rPr>
          <w:rFonts w:ascii="Verdana" w:hAnsi="Verdana"/>
          <w:sz w:val="18"/>
        </w:rPr>
      </w:pPr>
      <w:r w:rsidRPr="003533DC">
        <w:rPr>
          <w:rFonts w:ascii="Verdana" w:hAnsi="Verdana"/>
          <w:sz w:val="18"/>
        </w:rPr>
        <w:t>cod. 2720200120, diametro 20x2 mm, 2 m;</w:t>
      </w:r>
    </w:p>
    <w:p w14:paraId="7732A790" w14:textId="77777777" w:rsidR="00377FB6" w:rsidRPr="003533DC" w:rsidRDefault="00442B15" w:rsidP="003533DC">
      <w:pPr>
        <w:numPr>
          <w:ilvl w:val="0"/>
          <w:numId w:val="1"/>
        </w:numPr>
        <w:jc w:val="both"/>
        <w:rPr>
          <w:rFonts w:ascii="Verdana" w:eastAsia="Times New Roman" w:hAnsi="Verdana"/>
          <w:bCs/>
          <w:sz w:val="18"/>
        </w:rPr>
      </w:pPr>
      <w:r w:rsidRPr="00320C37">
        <w:rPr>
          <w:rFonts w:ascii="Verdana" w:eastAsia="Times New Roman" w:hAnsi="Verdana"/>
          <w:b/>
          <w:bCs/>
          <w:sz w:val="18"/>
        </w:rPr>
        <w:t xml:space="preserve">Guaina </w:t>
      </w:r>
      <w:r w:rsidR="00526B59">
        <w:rPr>
          <w:rFonts w:ascii="Verdana" w:eastAsia="Times New Roman" w:hAnsi="Verdana"/>
          <w:b/>
          <w:bCs/>
          <w:sz w:val="18"/>
        </w:rPr>
        <w:t>per isolazione tubazione</w:t>
      </w:r>
    </w:p>
    <w:p w14:paraId="6D53376C" w14:textId="77777777" w:rsidR="00442B15" w:rsidRDefault="00442B15" w:rsidP="003533DC">
      <w:pPr>
        <w:ind w:left="720"/>
        <w:jc w:val="both"/>
        <w:rPr>
          <w:rFonts w:ascii="Verdana" w:eastAsia="Times New Roman" w:hAnsi="Verdana"/>
          <w:bCs/>
          <w:sz w:val="18"/>
        </w:rPr>
      </w:pPr>
      <w:r w:rsidRPr="00320C37">
        <w:rPr>
          <w:rFonts w:ascii="Verdana" w:eastAsia="Times New Roman" w:hAnsi="Verdana"/>
          <w:bCs/>
          <w:sz w:val="18"/>
        </w:rPr>
        <w:t xml:space="preserve">in schiuma elastomerica a base di gomma sintetica, per isolare la tubazione </w:t>
      </w:r>
    </w:p>
    <w:p w14:paraId="2C820AAB" w14:textId="77777777" w:rsidR="00526B59" w:rsidRPr="003533DC" w:rsidRDefault="00526B59" w:rsidP="003533DC">
      <w:pPr>
        <w:ind w:left="720"/>
        <w:jc w:val="both"/>
        <w:rPr>
          <w:rFonts w:ascii="Verdana" w:eastAsia="Times New Roman" w:hAnsi="Verdana"/>
          <w:bCs/>
          <w:sz w:val="18"/>
        </w:rPr>
      </w:pPr>
      <w:r>
        <w:rPr>
          <w:rFonts w:ascii="Verdana" w:eastAsia="Times New Roman" w:hAnsi="Verdana"/>
          <w:bCs/>
          <w:sz w:val="18"/>
        </w:rPr>
        <w:t>cod. 3211020110 diametro 10 mm, spessore 6 mm</w:t>
      </w:r>
    </w:p>
    <w:p w14:paraId="13E01345" w14:textId="77777777" w:rsidR="00377FB6" w:rsidRDefault="00442B15" w:rsidP="003533DC">
      <w:pPr>
        <w:pStyle w:val="Contenutotabella"/>
        <w:numPr>
          <w:ilvl w:val="0"/>
          <w:numId w:val="1"/>
        </w:numPr>
        <w:spacing w:line="240" w:lineRule="auto"/>
        <w:jc w:val="both"/>
        <w:rPr>
          <w:rFonts w:ascii="Verdana" w:hAnsi="Verdana"/>
          <w:color w:val="auto"/>
          <w:sz w:val="18"/>
        </w:rPr>
      </w:pPr>
      <w:r w:rsidRPr="00320C37">
        <w:rPr>
          <w:rFonts w:ascii="Verdana" w:hAnsi="Verdana"/>
          <w:b/>
          <w:bCs/>
          <w:color w:val="auto"/>
          <w:sz w:val="18"/>
        </w:rPr>
        <w:t>Pannello isolante in polistirene espanso</w:t>
      </w:r>
    </w:p>
    <w:p w14:paraId="16500D0B" w14:textId="77777777" w:rsidR="00442B15" w:rsidRPr="003533DC" w:rsidRDefault="00442B15" w:rsidP="003533DC">
      <w:pPr>
        <w:pStyle w:val="Contenutotabella"/>
        <w:spacing w:line="240" w:lineRule="auto"/>
        <w:ind w:left="720"/>
        <w:jc w:val="both"/>
        <w:rPr>
          <w:rFonts w:ascii="Verdana" w:hAnsi="Verdana"/>
          <w:color w:val="auto"/>
          <w:sz w:val="18"/>
        </w:rPr>
      </w:pPr>
      <w:r w:rsidRPr="00320C37">
        <w:rPr>
          <w:rFonts w:ascii="Verdana" w:hAnsi="Verdana"/>
          <w:color w:val="auto"/>
          <w:sz w:val="18"/>
        </w:rPr>
        <w:t xml:space="preserve">conducibilità termica dichiarata pari a 0,033 W/m·K (UNI EN 13163, UNI EN 12667); resistenza a compressione: 200 kPa ; reazione al fuoco: Euroclasse E (EN 13501-1); </w:t>
      </w:r>
    </w:p>
    <w:p w14:paraId="181123B5" w14:textId="77777777" w:rsidR="00000555" w:rsidRDefault="00442B15" w:rsidP="003533DC">
      <w:pPr>
        <w:pStyle w:val="Contenutotabella"/>
        <w:numPr>
          <w:ilvl w:val="0"/>
          <w:numId w:val="1"/>
        </w:numPr>
        <w:spacing w:line="240" w:lineRule="auto"/>
        <w:jc w:val="both"/>
        <w:rPr>
          <w:rFonts w:ascii="Verdana" w:hAnsi="Verdana"/>
          <w:color w:val="auto"/>
          <w:sz w:val="18"/>
        </w:rPr>
      </w:pPr>
      <w:r w:rsidRPr="00320C37">
        <w:rPr>
          <w:rFonts w:ascii="Verdana" w:hAnsi="Verdana"/>
          <w:b/>
          <w:bCs/>
          <w:color w:val="auto"/>
          <w:sz w:val="18"/>
        </w:rPr>
        <w:t>Pannello isolante in polistirene estruso XPS</w:t>
      </w:r>
    </w:p>
    <w:p w14:paraId="64939FE2" w14:textId="77777777" w:rsidR="00442B15" w:rsidRPr="003533DC" w:rsidRDefault="00442B15" w:rsidP="003533DC">
      <w:pPr>
        <w:pStyle w:val="Contenutotabella"/>
        <w:spacing w:line="240" w:lineRule="auto"/>
        <w:ind w:left="720"/>
        <w:jc w:val="both"/>
        <w:rPr>
          <w:rFonts w:ascii="Verdana" w:hAnsi="Verdana"/>
          <w:color w:val="auto"/>
          <w:sz w:val="18"/>
        </w:rPr>
      </w:pPr>
      <w:r w:rsidRPr="00320C37">
        <w:rPr>
          <w:rFonts w:ascii="Verdana" w:hAnsi="Verdana"/>
          <w:color w:val="auto"/>
          <w:sz w:val="18"/>
        </w:rPr>
        <w:lastRenderedPageBreak/>
        <w:t xml:space="preserve">conducibilità termica dichiarata pari a 0,033 W/m·K (UNI EN 13164, UNI EN 12667); resistenza a compressione al 10 % di deformazione: 300 kPa ; reazione al fuoco: Euroclasse E (EN 13501-1); </w:t>
      </w:r>
    </w:p>
    <w:p w14:paraId="0E6985BC" w14:textId="77777777" w:rsidR="00000555" w:rsidRDefault="00442B15" w:rsidP="003533DC">
      <w:pPr>
        <w:pStyle w:val="Contenutotabell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</w:rPr>
      </w:pPr>
      <w:r w:rsidRPr="00320C37">
        <w:rPr>
          <w:rFonts w:ascii="Verdana" w:hAnsi="Verdana"/>
          <w:b/>
          <w:sz w:val="18"/>
        </w:rPr>
        <w:t>Profil</w:t>
      </w:r>
      <w:r w:rsidR="00526B59">
        <w:rPr>
          <w:rFonts w:ascii="Verdana" w:hAnsi="Verdana"/>
          <w:b/>
          <w:sz w:val="18"/>
        </w:rPr>
        <w:t>o</w:t>
      </w:r>
      <w:r w:rsidRPr="00320C37">
        <w:rPr>
          <w:rFonts w:ascii="Verdana" w:hAnsi="Verdana"/>
          <w:b/>
          <w:sz w:val="18"/>
        </w:rPr>
        <w:t xml:space="preserve"> </w:t>
      </w:r>
      <w:r w:rsidR="00526B59">
        <w:rPr>
          <w:rFonts w:ascii="Verdana" w:hAnsi="Verdana"/>
          <w:b/>
          <w:sz w:val="18"/>
        </w:rPr>
        <w:t>fermatubo</w:t>
      </w:r>
      <w:r w:rsidRPr="00320C37">
        <w:rPr>
          <w:rFonts w:ascii="Verdana" w:hAnsi="Verdana"/>
          <w:b/>
          <w:sz w:val="18"/>
        </w:rPr>
        <w:t xml:space="preserve"> U</w:t>
      </w:r>
    </w:p>
    <w:p w14:paraId="013C2E9B" w14:textId="77777777" w:rsidR="00442B15" w:rsidRPr="00320C37" w:rsidRDefault="00000555" w:rsidP="003533DC">
      <w:pPr>
        <w:pStyle w:val="Contenutotabella"/>
        <w:spacing w:line="240" w:lineRule="auto"/>
        <w:ind w:left="7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</w:t>
      </w:r>
      <w:r w:rsidR="00442B15" w:rsidRPr="00320C37">
        <w:rPr>
          <w:rFonts w:ascii="Verdana" w:hAnsi="Verdana"/>
          <w:sz w:val="18"/>
        </w:rPr>
        <w:t xml:space="preserve">rofilo ferma tubo in materiale plastico per la tenuta di tubo in polietilene avente diametro esterno </w:t>
      </w:r>
      <w:smartTag w:uri="urn:schemas-microsoft-com:office:smarttags" w:element="metricconverter">
        <w:smartTagPr>
          <w:attr w:name="ProductID" w:val="20 mm"/>
        </w:smartTagPr>
        <w:r w:rsidR="00442B15" w:rsidRPr="00320C37">
          <w:rPr>
            <w:rFonts w:ascii="Verdana" w:hAnsi="Verdana"/>
            <w:sz w:val="18"/>
          </w:rPr>
          <w:t>20 mm</w:t>
        </w:r>
      </w:smartTag>
      <w:r w:rsidR="00442B15" w:rsidRPr="00320C37">
        <w:rPr>
          <w:rFonts w:ascii="Verdana" w:hAnsi="Verdana"/>
          <w:sz w:val="18"/>
        </w:rPr>
        <w:t xml:space="preserve"> comprensivo di fori d=8 mm per il fissaggio del profilo alla superficie;</w:t>
      </w:r>
    </w:p>
    <w:p w14:paraId="7CD49159" w14:textId="77777777" w:rsidR="00FB34D7" w:rsidRPr="00682769" w:rsidRDefault="007C553E" w:rsidP="003533DC">
      <w:pPr>
        <w:tabs>
          <w:tab w:val="left" w:pos="12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3533DC">
        <w:rPr>
          <w:rFonts w:ascii="Verdana" w:hAnsi="Verdana"/>
          <w:b/>
          <w:bCs/>
          <w:sz w:val="18"/>
          <w:szCs w:val="18"/>
        </w:rPr>
        <w:t xml:space="preserve">Il sistema deve essere fornito di documentazione attestante resa determinata mediante simulazioni numeriche alle differenze finite secondo </w:t>
      </w:r>
      <w:r w:rsidR="0072180A" w:rsidRPr="003533DC">
        <w:rPr>
          <w:rFonts w:ascii="Verdana" w:hAnsi="Verdana"/>
          <w:b/>
          <w:bCs/>
          <w:sz w:val="18"/>
          <w:szCs w:val="18"/>
        </w:rPr>
        <w:t>EN ISO 11855</w:t>
      </w:r>
      <w:r w:rsidRPr="003533DC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 w:rsidR="00FB34D7" w:rsidRPr="00682769">
        <w:rPr>
          <w:rFonts w:ascii="Verdana" w:hAnsi="Verdana"/>
          <w:color w:val="000000"/>
          <w:sz w:val="18"/>
          <w:szCs w:val="18"/>
        </w:rPr>
        <w:t xml:space="preserve">Il sistema deve essere corredato di assicurazione coperta da Agenzia e/o Ente assicurativo senza limite di tempo su tutti i prodotti per difetti originari, di produzione, assemblaggio e/o progettazione, contro i danni involontariamente cagionati a terzi con un massimale assicurato unico di almeno euro </w:t>
      </w:r>
      <w:r w:rsidR="00320C37">
        <w:rPr>
          <w:rFonts w:ascii="Verdana" w:hAnsi="Verdana"/>
          <w:color w:val="000000"/>
          <w:sz w:val="18"/>
          <w:szCs w:val="18"/>
        </w:rPr>
        <w:t>10</w:t>
      </w:r>
      <w:r w:rsidR="00FB34D7" w:rsidRPr="00682769">
        <w:rPr>
          <w:rFonts w:ascii="Verdana" w:hAnsi="Verdana"/>
          <w:color w:val="000000"/>
          <w:sz w:val="18"/>
          <w:szCs w:val="18"/>
        </w:rPr>
        <w:t>.</w:t>
      </w:r>
      <w:r w:rsidR="00320C37">
        <w:rPr>
          <w:rFonts w:ascii="Verdana" w:hAnsi="Verdana"/>
          <w:color w:val="000000"/>
          <w:sz w:val="18"/>
          <w:szCs w:val="18"/>
        </w:rPr>
        <w:t>0</w:t>
      </w:r>
      <w:r w:rsidR="00FB34D7" w:rsidRPr="00682769">
        <w:rPr>
          <w:rFonts w:ascii="Verdana" w:hAnsi="Verdana"/>
          <w:color w:val="000000"/>
          <w:sz w:val="18"/>
          <w:szCs w:val="18"/>
        </w:rPr>
        <w:t xml:space="preserve">00.000,00; i lavori di manutenzione ed installazione devono essere assicurati come sopra specificato con un massimale di almeno Euro </w:t>
      </w:r>
      <w:r w:rsidR="00320C37">
        <w:rPr>
          <w:rFonts w:ascii="Verdana" w:hAnsi="Verdana"/>
          <w:color w:val="000000"/>
          <w:sz w:val="18"/>
          <w:szCs w:val="18"/>
        </w:rPr>
        <w:t>10</w:t>
      </w:r>
      <w:r w:rsidR="00FB34D7" w:rsidRPr="00682769">
        <w:rPr>
          <w:rFonts w:ascii="Verdana" w:hAnsi="Verdana"/>
          <w:color w:val="000000"/>
          <w:sz w:val="18"/>
          <w:szCs w:val="18"/>
        </w:rPr>
        <w:t>.</w:t>
      </w:r>
      <w:r w:rsidR="00320C37">
        <w:rPr>
          <w:rFonts w:ascii="Verdana" w:hAnsi="Verdana"/>
          <w:color w:val="000000"/>
          <w:sz w:val="18"/>
          <w:szCs w:val="18"/>
        </w:rPr>
        <w:t>0</w:t>
      </w:r>
      <w:r w:rsidR="00FB34D7" w:rsidRPr="00682769">
        <w:rPr>
          <w:rFonts w:ascii="Verdana" w:hAnsi="Verdana"/>
          <w:color w:val="000000"/>
          <w:sz w:val="18"/>
          <w:szCs w:val="18"/>
        </w:rPr>
        <w:t>00.000,00. Le garanzie di assicurazione devono essere fornite in modo automatico alla consegna dei lavori senza ulteriori addebiti da parte della Committenza.</w:t>
      </w:r>
    </w:p>
    <w:p w14:paraId="01D90783" w14:textId="77777777" w:rsidR="007C553E" w:rsidRPr="00320C37" w:rsidRDefault="007C553E" w:rsidP="003533DC">
      <w:pPr>
        <w:tabs>
          <w:tab w:val="left" w:pos="1240"/>
        </w:tabs>
        <w:jc w:val="both"/>
      </w:pPr>
      <w:r>
        <w:rPr>
          <w:rFonts w:ascii="Verdana" w:hAnsi="Verdana"/>
          <w:color w:val="000000"/>
          <w:sz w:val="18"/>
          <w:szCs w:val="18"/>
        </w:rPr>
        <w:t xml:space="preserve">Campionature, schede tecniche e certificati del sistema devono essere forniti prima dell’inizio dei lavori per l’accettazione da parte della Direzione Lavori. </w:t>
      </w:r>
    </w:p>
    <w:p w14:paraId="7E01D51F" w14:textId="77777777" w:rsidR="007C553E" w:rsidRPr="00E32047" w:rsidRDefault="00E32047" w:rsidP="003533DC">
      <w:pPr>
        <w:jc w:val="both"/>
        <w:rPr>
          <w:rFonts w:ascii="Verdana" w:hAnsi="Verdana"/>
          <w:b/>
          <w:bCs/>
          <w:sz w:val="18"/>
        </w:rPr>
      </w:pPr>
      <w:r w:rsidRPr="00E32047">
        <w:rPr>
          <w:rFonts w:ascii="Verdana" w:hAnsi="Verdana"/>
          <w:b/>
          <w:bCs/>
          <w:sz w:val="18"/>
        </w:rPr>
        <w:t xml:space="preserve">Indicazioni di posa: </w:t>
      </w:r>
    </w:p>
    <w:p w14:paraId="275A10BC" w14:textId="77777777" w:rsidR="007C553E" w:rsidRPr="00320C37" w:rsidRDefault="00E32047" w:rsidP="003533DC">
      <w:pPr>
        <w:tabs>
          <w:tab w:val="left" w:pos="1240"/>
        </w:tabs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</w:t>
      </w:r>
      <w:r w:rsidR="007C553E" w:rsidRPr="00320C37">
        <w:rPr>
          <w:rFonts w:ascii="Verdana" w:hAnsi="Verdana"/>
          <w:color w:val="000000"/>
          <w:sz w:val="18"/>
          <w:szCs w:val="18"/>
        </w:rPr>
        <w:t>a posa dell'impianto deve seguire le procedure specificate dalle schede tecniche del produttore e le indicazioni presenti sul progetto esecutivo. In particolare:</w:t>
      </w:r>
      <w:r w:rsidR="007C553E" w:rsidRPr="00320C37">
        <w:rPr>
          <w:rFonts w:ascii="Verdana" w:hAnsi="Verdana"/>
          <w:color w:val="000000"/>
          <w:sz w:val="18"/>
          <w:szCs w:val="18"/>
        </w:rPr>
        <w:br/>
        <w:t>La struttura metallica alla quale applicare i pannelli radianti in cartongesso deve essere stabilita in collaborazione con il cartongessista, il quale stabilirà il tipo di profili e montanti più consono alla condizione e superficie degli ambienti e della parete; l’interasse dei montanti deve essere compatibile con le larghezze dei pannelli in cartongesso attivi presenti nel progetto.</w:t>
      </w:r>
    </w:p>
    <w:p w14:paraId="4540BA43" w14:textId="77777777" w:rsidR="007C553E" w:rsidRPr="003533DC" w:rsidRDefault="007C553E" w:rsidP="003533DC">
      <w:pPr>
        <w:pStyle w:val="Contenutotabella"/>
        <w:spacing w:line="240" w:lineRule="auto"/>
        <w:jc w:val="both"/>
        <w:rPr>
          <w:rFonts w:ascii="Verdana" w:eastAsia="Times" w:hAnsi="Verdana"/>
          <w:color w:val="auto"/>
          <w:sz w:val="18"/>
          <w:szCs w:val="18"/>
        </w:rPr>
      </w:pPr>
      <w:r w:rsidRPr="00320C37">
        <w:rPr>
          <w:rFonts w:ascii="Verdana" w:hAnsi="Verdana"/>
          <w:sz w:val="18"/>
          <w:szCs w:val="18"/>
        </w:rPr>
        <w:t xml:space="preserve">La posa della linea di distribuzione deve avvenire senza giunzioni fino al punto di collegamento ai pannelli radianti in cartongesso; qualora, causa incidenti subiti dall’impianto finito, venissero fatti giunti meccanici, questi devono essere localizzati e riportati sulla documentazione allegata. </w:t>
      </w:r>
      <w:r w:rsidRPr="00320C37">
        <w:rPr>
          <w:rFonts w:ascii="Verdana" w:hAnsi="Verdana"/>
          <w:sz w:val="18"/>
          <w:szCs w:val="18"/>
        </w:rPr>
        <w:br/>
        <w:t>V</w:t>
      </w:r>
      <w:r w:rsidRPr="003533DC">
        <w:rPr>
          <w:rFonts w:ascii="Verdana" w:eastAsia="Times" w:hAnsi="Verdana"/>
          <w:color w:val="auto"/>
          <w:sz w:val="18"/>
          <w:szCs w:val="18"/>
        </w:rPr>
        <w:t>a rispettato fedelmente il progetto per quanto riguarda numero, posizione, ordine e modalità di collegamento alla linea dei pannelli in cartongesso attivi.</w:t>
      </w:r>
    </w:p>
    <w:p w14:paraId="5F367E7F" w14:textId="77777777" w:rsidR="00F208EC" w:rsidRPr="003533DC" w:rsidRDefault="007C553E" w:rsidP="003533DC">
      <w:pPr>
        <w:pStyle w:val="Contenutotabella"/>
        <w:spacing w:line="240" w:lineRule="auto"/>
        <w:jc w:val="both"/>
        <w:rPr>
          <w:rFonts w:ascii="Verdana" w:eastAsia="Times" w:hAnsi="Verdana"/>
          <w:color w:val="auto"/>
          <w:sz w:val="18"/>
          <w:szCs w:val="18"/>
        </w:rPr>
      </w:pPr>
      <w:r w:rsidRPr="003533DC">
        <w:rPr>
          <w:rFonts w:ascii="Verdana" w:eastAsia="Times" w:hAnsi="Verdana"/>
          <w:color w:val="auto"/>
          <w:sz w:val="18"/>
          <w:szCs w:val="18"/>
        </w:rPr>
        <w:t>Il cartongessista dovrà completare la contro</w:t>
      </w:r>
      <w:r w:rsidR="008F116C" w:rsidRPr="003533DC">
        <w:rPr>
          <w:rFonts w:ascii="Verdana" w:eastAsia="Times" w:hAnsi="Verdana"/>
          <w:color w:val="auto"/>
          <w:sz w:val="18"/>
          <w:szCs w:val="18"/>
        </w:rPr>
        <w:t>-</w:t>
      </w:r>
      <w:r w:rsidRPr="003533DC">
        <w:rPr>
          <w:rFonts w:ascii="Verdana" w:eastAsia="Times" w:hAnsi="Verdana"/>
          <w:color w:val="auto"/>
          <w:sz w:val="18"/>
          <w:szCs w:val="18"/>
        </w:rPr>
        <w:t>parete installando i pannelli in cartongesso di tamponatura e predisponendo i giunti di dilatazione secondo le indicazioni già in uso per le tradizionali contropareti.</w:t>
      </w:r>
      <w:r w:rsidRPr="003533DC">
        <w:rPr>
          <w:rFonts w:ascii="Verdana" w:eastAsia="Times" w:hAnsi="Verdana"/>
          <w:color w:val="auto"/>
          <w:sz w:val="18"/>
          <w:szCs w:val="18"/>
        </w:rPr>
        <w:br/>
        <w:t>Per un risultato ottimale, prima di realizzare la pittura è necessario prevedere un trattamento preliminare con una mano di fondo consolidante e isolante di colore bianco coprente.</w:t>
      </w:r>
    </w:p>
    <w:p w14:paraId="489FA607" w14:textId="77777777" w:rsidR="00F208EC" w:rsidRPr="003533DC" w:rsidRDefault="00F208EC" w:rsidP="003A41F1">
      <w:pPr>
        <w:rPr>
          <w:rFonts w:ascii="Verdana" w:hAnsi="Verdana"/>
          <w:sz w:val="18"/>
          <w:szCs w:val="18"/>
        </w:rPr>
      </w:pPr>
      <w:r w:rsidRPr="003533DC">
        <w:rPr>
          <w:rFonts w:ascii="Verdana" w:hAnsi="Verdana"/>
          <w:sz w:val="18"/>
          <w:szCs w:val="18"/>
        </w:rPr>
        <w:t xml:space="preserve">Come prescritto dalla norma di riferimento (UNI EN 1264-4), dopo la posa dell’impianto esso dovrà essere messo in pressione prima di realizzare </w:t>
      </w:r>
      <w:r>
        <w:rPr>
          <w:rFonts w:ascii="Verdana" w:hAnsi="Verdana"/>
          <w:sz w:val="18"/>
          <w:szCs w:val="18"/>
        </w:rPr>
        <w:t xml:space="preserve">la </w:t>
      </w:r>
      <w:r w:rsidRPr="003533DC">
        <w:rPr>
          <w:rFonts w:ascii="Verdana" w:hAnsi="Verdana"/>
          <w:sz w:val="18"/>
          <w:szCs w:val="18"/>
        </w:rPr>
        <w:t xml:space="preserve">finitura </w:t>
      </w:r>
      <w:r>
        <w:rPr>
          <w:rFonts w:ascii="Verdana" w:hAnsi="Verdana"/>
          <w:sz w:val="18"/>
          <w:szCs w:val="18"/>
        </w:rPr>
        <w:t>superficiale della parete</w:t>
      </w:r>
      <w:r w:rsidRPr="003533DC">
        <w:rPr>
          <w:rFonts w:ascii="Verdana" w:hAnsi="Verdana"/>
          <w:sz w:val="18"/>
          <w:szCs w:val="18"/>
        </w:rPr>
        <w:t>. La pressione di prova non deve essere inferiore a 4 bar e non superiore a 6 bar nel caso di utilizzo di acqua. Se la prova di pressione viene eseguita ad aria la pressione dovrà essere mantenuta tra 2 e 3 bar. Il protocollo di messa in pressione deve essere</w:t>
      </w:r>
      <w:r w:rsidR="003A41F1">
        <w:rPr>
          <w:rFonts w:ascii="Verdana" w:hAnsi="Verdana"/>
          <w:sz w:val="18"/>
          <w:szCs w:val="18"/>
        </w:rPr>
        <w:t xml:space="preserve"> </w:t>
      </w:r>
      <w:r w:rsidRPr="003533DC">
        <w:rPr>
          <w:rFonts w:ascii="Verdana" w:hAnsi="Verdana"/>
          <w:sz w:val="18"/>
          <w:szCs w:val="18"/>
        </w:rPr>
        <w:t>documentato.</w:t>
      </w:r>
      <w:r w:rsidRPr="00F208EC">
        <w:rPr>
          <w:rFonts w:ascii="Verdana" w:hAnsi="Verdana"/>
          <w:sz w:val="18"/>
          <w:szCs w:val="18"/>
        </w:rPr>
        <w:br/>
      </w:r>
      <w:r w:rsidRPr="003533DC">
        <w:rPr>
          <w:rFonts w:ascii="Verdana" w:hAnsi="Verdana"/>
          <w:sz w:val="18"/>
          <w:szCs w:val="18"/>
        </w:rPr>
        <w:lastRenderedPageBreak/>
        <w:t>Il riscaldamento iniziale del sistema inizia ad una temperatura di mandata compresa tra 20°C e 25°C che deve essere mantenuta per almeno tre giorni. Successivamente si aumenta la temperatura di 2°C o 3°C al giorno fino al raggiungimento del valore di progetto. Il processo di riscaldamento iniziale deve essere documentato.</w:t>
      </w:r>
    </w:p>
    <w:p w14:paraId="2FB136DB" w14:textId="77777777" w:rsidR="00F208EC" w:rsidRPr="00320C37" w:rsidRDefault="00F208EC" w:rsidP="003533DC">
      <w:pPr>
        <w:tabs>
          <w:tab w:val="left" w:pos="1240"/>
        </w:tabs>
        <w:jc w:val="both"/>
        <w:rPr>
          <w:rFonts w:ascii="Verdana" w:hAnsi="Verdana"/>
          <w:sz w:val="18"/>
        </w:rPr>
      </w:pPr>
    </w:p>
    <w:sectPr w:rsidR="00F208EC" w:rsidRPr="00320C37" w:rsidSect="003533DC">
      <w:pgSz w:w="12240" w:h="15840"/>
      <w:pgMar w:top="1129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8AE9" w14:textId="77777777" w:rsidR="0032261E" w:rsidRDefault="0032261E">
      <w:r>
        <w:separator/>
      </w:r>
    </w:p>
  </w:endnote>
  <w:endnote w:type="continuationSeparator" w:id="0">
    <w:p w14:paraId="28C0C534" w14:textId="77777777" w:rsidR="0032261E" w:rsidRDefault="0032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AE36" w14:textId="77777777" w:rsidR="0032261E" w:rsidRDefault="0032261E">
      <w:r>
        <w:separator/>
      </w:r>
    </w:p>
  </w:footnote>
  <w:footnote w:type="continuationSeparator" w:id="0">
    <w:p w14:paraId="240F43E2" w14:textId="77777777" w:rsidR="0032261E" w:rsidRDefault="0032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71F"/>
    <w:multiLevelType w:val="hybridMultilevel"/>
    <w:tmpl w:val="54641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57545"/>
    <w:multiLevelType w:val="hybridMultilevel"/>
    <w:tmpl w:val="D7125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73627">
    <w:abstractNumId w:val="1"/>
  </w:num>
  <w:num w:numId="2" w16cid:durableId="140537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D7"/>
    <w:rsid w:val="00000555"/>
    <w:rsid w:val="001765D5"/>
    <w:rsid w:val="001957FB"/>
    <w:rsid w:val="001C6E0D"/>
    <w:rsid w:val="002246DD"/>
    <w:rsid w:val="002574E1"/>
    <w:rsid w:val="00320C37"/>
    <w:rsid w:val="0032261E"/>
    <w:rsid w:val="00332BF1"/>
    <w:rsid w:val="00352F70"/>
    <w:rsid w:val="003533DC"/>
    <w:rsid w:val="00377FB6"/>
    <w:rsid w:val="003A41F1"/>
    <w:rsid w:val="003B2D8F"/>
    <w:rsid w:val="003C76A1"/>
    <w:rsid w:val="00442B15"/>
    <w:rsid w:val="00471D35"/>
    <w:rsid w:val="004738A9"/>
    <w:rsid w:val="00492DD2"/>
    <w:rsid w:val="0049698D"/>
    <w:rsid w:val="00526B59"/>
    <w:rsid w:val="0072180A"/>
    <w:rsid w:val="007C553E"/>
    <w:rsid w:val="00830980"/>
    <w:rsid w:val="00894CD0"/>
    <w:rsid w:val="008A57C6"/>
    <w:rsid w:val="008E1C57"/>
    <w:rsid w:val="008F116C"/>
    <w:rsid w:val="009355DD"/>
    <w:rsid w:val="00941157"/>
    <w:rsid w:val="00972650"/>
    <w:rsid w:val="009E39DF"/>
    <w:rsid w:val="009F0868"/>
    <w:rsid w:val="00A554EF"/>
    <w:rsid w:val="00A771AB"/>
    <w:rsid w:val="00AE65AF"/>
    <w:rsid w:val="00B6753F"/>
    <w:rsid w:val="00B95C4F"/>
    <w:rsid w:val="00CF23FA"/>
    <w:rsid w:val="00E32047"/>
    <w:rsid w:val="00E643AB"/>
    <w:rsid w:val="00ED3796"/>
    <w:rsid w:val="00F208EC"/>
    <w:rsid w:val="00F468AA"/>
    <w:rsid w:val="00F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5956672C"/>
  <w15:chartTrackingRefBased/>
  <w15:docId w15:val="{6152A8B2-7516-4E05-AC01-D2B56DC0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2B15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120" w:line="288" w:lineRule="auto"/>
      <w:outlineLvl w:val="0"/>
    </w:pPr>
    <w:rPr>
      <w:rFonts w:eastAsia="Times New Roman"/>
      <w:b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1240"/>
      </w:tabs>
      <w:outlineLvl w:val="1"/>
    </w:pPr>
    <w:rPr>
      <w:rFonts w:ascii="Arial" w:hAnsi="Arial"/>
      <w:color w:val="800000"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Noparagraphstyle">
    <w:name w:val="[No paragraph style]"/>
    <w:pPr>
      <w:spacing w:line="288" w:lineRule="auto"/>
    </w:pPr>
    <w:rPr>
      <w:rFonts w:eastAsia="Times New Roman"/>
      <w:color w:val="000000"/>
      <w:sz w:val="24"/>
    </w:rPr>
  </w:style>
  <w:style w:type="paragraph" w:customStyle="1" w:styleId="Contenutotabella">
    <w:name w:val="Contenuto tabella"/>
    <w:basedOn w:val="Normale"/>
    <w:pPr>
      <w:spacing w:line="288" w:lineRule="auto"/>
    </w:pPr>
    <w:rPr>
      <w:rFonts w:eastAsia="Times New Roman"/>
      <w:color w:val="000000"/>
      <w:sz w:val="20"/>
    </w:rPr>
  </w:style>
  <w:style w:type="paragraph" w:styleId="Corpodeltesto">
    <w:name w:val="Corpo del testo"/>
    <w:basedOn w:val="Normale"/>
    <w:rPr>
      <w:rFonts w:ascii="Arial" w:hAnsi="Arial"/>
      <w:sz w:val="18"/>
    </w:rPr>
  </w:style>
  <w:style w:type="character" w:customStyle="1" w:styleId="stile111">
    <w:name w:val="stile111"/>
    <w:rPr>
      <w:color w:val="FF660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</w:rPr>
  </w:style>
  <w:style w:type="table" w:styleId="Grigliatabella">
    <w:name w:val="Table Grid"/>
    <w:basedOn w:val="Tabellanormale"/>
    <w:rsid w:val="00CF2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320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89EC51D998EC4996D904DCDC4C6281" ma:contentTypeVersion="7" ma:contentTypeDescription="Creare un nuovo documento." ma:contentTypeScope="" ma:versionID="5eaef22586095c97f8fb1ce89448f1fd">
  <xsd:schema xmlns:xsd="http://www.w3.org/2001/XMLSchema" xmlns:xs="http://www.w3.org/2001/XMLSchema" xmlns:p="http://schemas.microsoft.com/office/2006/metadata/properties" xmlns:ns2="6271a5ff-c52e-4876-9f2c-2ffae6494ce4" xmlns:ns3="4a78a783-9032-4877-9df0-8ecb32e90b73" targetNamespace="http://schemas.microsoft.com/office/2006/metadata/properties" ma:root="true" ma:fieldsID="17e71e9f689540e57b445d645cf109f4" ns2:_="" ns3:_="">
    <xsd:import namespace="6271a5ff-c52e-4876-9f2c-2ffae6494ce4"/>
    <xsd:import namespace="4a78a783-9032-4877-9df0-8ecb32e90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Zah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1a5ff-c52e-4876-9f2c-2ffae6494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Zahl" ma:index="10" nillable="true" ma:displayName="Zahl" ma:format="Dropdown" ma:internalName="Zahl" ma:percentage="FALSE">
      <xsd:simpleType>
        <xsd:restriction base="dms:Number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8a783-9032-4877-9df0-8ecb32e90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hl xmlns="6271a5ff-c52e-4876-9f2c-2ffae6494ce4" xsi:nil="true"/>
  </documentManagement>
</p:properties>
</file>

<file path=customXml/itemProps1.xml><?xml version="1.0" encoding="utf-8"?>
<ds:datastoreItem xmlns:ds="http://schemas.openxmlformats.org/officeDocument/2006/customXml" ds:itemID="{23BFFE0F-2256-4565-8036-59B75F4BA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A88FC-CED1-4039-A2A5-57AA12FD0BC0}"/>
</file>

<file path=customXml/itemProps3.xml><?xml version="1.0" encoding="utf-8"?>
<ds:datastoreItem xmlns:ds="http://schemas.openxmlformats.org/officeDocument/2006/customXml" ds:itemID="{DBE4C226-D1CC-404D-B1DD-ED81EAC477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89A1F64-D6CB-4766-9387-8AE00CFD3C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A87A5C-939F-4BDA-A733-59EFA7A64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eurotop</vt:lpstr>
    </vt:vector>
  </TitlesOfParts>
  <Company>Eurotherm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eurotop</dc:title>
  <dc:subject/>
  <dc:creator>Christian</dc:creator>
  <cp:keywords/>
  <cp:lastModifiedBy>Marjola Zgurati</cp:lastModifiedBy>
  <cp:revision>2</cp:revision>
  <dcterms:created xsi:type="dcterms:W3CDTF">2024-01-18T10:41:00Z</dcterms:created>
  <dcterms:modified xsi:type="dcterms:W3CDTF">2024-01-18T10:41:00Z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Massimo Zuliani</vt:lpwstr>
  </property>
  <property fmtid="{D5CDD505-2E9C-101B-9397-08002B2CF9AE}" pid="3" name="Titolo">
    <vt:lpwstr>Sistema eurotop</vt:lpwstr>
  </property>
  <property fmtid="{D5CDD505-2E9C-101B-9397-08002B2CF9AE}" pid="4" name="display_urn:schemas-microsoft-com:office:office#Author">
    <vt:lpwstr>Roberta Tomasi</vt:lpwstr>
  </property>
  <property fmtid="{D5CDD505-2E9C-101B-9397-08002B2CF9AE}" pid="5" name="ContentTypeId">
    <vt:lpwstr>0x010100DD89EC51D998EC4996D904DCDC4C6281</vt:lpwstr>
  </property>
</Properties>
</file>