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00C7" w14:textId="491546A1" w:rsidR="005B35AB" w:rsidRPr="00DE3883" w:rsidRDefault="009D399F" w:rsidP="00DE3883">
      <w:pPr>
        <w:pStyle w:val="Titolo1"/>
        <w:tabs>
          <w:tab w:val="clear" w:pos="284"/>
          <w:tab w:val="left" w:pos="1240"/>
        </w:tabs>
        <w:overflowPunct/>
        <w:autoSpaceDE/>
        <w:autoSpaceDN/>
        <w:adjustRightInd/>
        <w:spacing w:before="240" w:after="120"/>
        <w:jc w:val="both"/>
        <w:textAlignment w:val="auto"/>
        <w:rPr>
          <w:rFonts w:ascii="Verdana" w:eastAsia="Times" w:hAnsi="Verdana"/>
          <w:b w:val="0"/>
          <w:bCs/>
          <w:sz w:val="18"/>
          <w:szCs w:val="18"/>
        </w:rPr>
      </w:pPr>
      <w:r w:rsidRPr="009D399F">
        <w:rPr>
          <w:rFonts w:ascii="Verdana" w:eastAsia="Times" w:hAnsi="Verdana" w:cs="Times New Roman"/>
          <w:bCs/>
          <w:sz w:val="18"/>
          <w:szCs w:val="18"/>
        </w:rPr>
        <w:t>VOCE DI CAPITOLATO IT – EASY KLIMA</w:t>
      </w:r>
      <w:r w:rsidR="005B35AB" w:rsidRPr="00DE3883">
        <w:rPr>
          <w:rFonts w:ascii="Verdana" w:eastAsia="Times" w:hAnsi="Verdana" w:cs="Times New Roman"/>
          <w:bCs/>
          <w:sz w:val="18"/>
          <w:szCs w:val="18"/>
        </w:rPr>
        <w:t>®</w:t>
      </w:r>
    </w:p>
    <w:p w14:paraId="1EF2D4AD" w14:textId="5B547CFA" w:rsidR="007C3F5E" w:rsidRDefault="00706684" w:rsidP="00601ABF">
      <w:pPr>
        <w:spacing w:line="360" w:lineRule="auto"/>
        <w:ind w:right="22"/>
        <w:jc w:val="both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 xml:space="preserve">Fornitura e posa in opera di </w:t>
      </w:r>
      <w:r w:rsidRPr="00DE3883">
        <w:rPr>
          <w:rFonts w:ascii="Verdana" w:hAnsi="Verdana"/>
          <w:b/>
          <w:sz w:val="18"/>
          <w:szCs w:val="18"/>
        </w:rPr>
        <w:t>EASY-KLIMA</w:t>
      </w:r>
      <w:r w:rsidRPr="00DE3883">
        <w:rPr>
          <w:rFonts w:ascii="Verdana" w:hAnsi="Verdana"/>
          <w:b/>
          <w:sz w:val="18"/>
          <w:szCs w:val="18"/>
          <w:vertAlign w:val="superscript"/>
        </w:rPr>
        <w:t>®</w:t>
      </w:r>
      <w:r w:rsidRPr="00DE3883">
        <w:rPr>
          <w:rFonts w:ascii="Verdana" w:hAnsi="Verdana"/>
          <w:sz w:val="18"/>
          <w:szCs w:val="18"/>
        </w:rPr>
        <w:t xml:space="preserve">, controsoffitto radiante metallico per riscaldamento e raffrescamento con proprietà di fono-assorbenza. </w:t>
      </w:r>
      <w:r w:rsidR="005B35AB" w:rsidRPr="00DE3883">
        <w:rPr>
          <w:rFonts w:ascii="Verdana" w:hAnsi="Verdana"/>
          <w:sz w:val="18"/>
          <w:szCs w:val="18"/>
        </w:rPr>
        <w:t>Semplicità d’installazione e assenza di manutenzione fanno di EASY-KLIMA</w:t>
      </w:r>
      <w:r w:rsidR="005B35AB" w:rsidRPr="00DE3883">
        <w:rPr>
          <w:rFonts w:ascii="Verdana" w:hAnsi="Verdana"/>
          <w:sz w:val="18"/>
          <w:szCs w:val="18"/>
          <w:vertAlign w:val="superscript"/>
        </w:rPr>
        <w:t>®</w:t>
      </w:r>
      <w:r w:rsidR="005B35AB" w:rsidRPr="00DE3883">
        <w:rPr>
          <w:rFonts w:ascii="Verdana" w:hAnsi="Verdana"/>
          <w:sz w:val="18"/>
          <w:szCs w:val="18"/>
        </w:rPr>
        <w:t xml:space="preserve"> il soffitto versatile ed economico, che contribuisce a rendere il clima e l’acustica di un ambiente estremamente confortevole. </w:t>
      </w:r>
      <w:r w:rsidR="00775196" w:rsidRPr="00DE3883">
        <w:rPr>
          <w:rFonts w:ascii="Verdana" w:hAnsi="Verdana"/>
          <w:sz w:val="18"/>
          <w:szCs w:val="18"/>
        </w:rPr>
        <w:t>Il soffitto è costituito da pannelli (doghe</w:t>
      </w:r>
      <w:r w:rsidR="00622540" w:rsidRPr="00DE3883">
        <w:rPr>
          <w:rFonts w:ascii="Verdana" w:hAnsi="Verdana"/>
          <w:sz w:val="18"/>
          <w:szCs w:val="18"/>
        </w:rPr>
        <w:t>) in acciaio</w:t>
      </w:r>
      <w:r w:rsidR="004815D4" w:rsidRPr="00DE3883">
        <w:rPr>
          <w:rFonts w:ascii="Verdana" w:hAnsi="Verdana"/>
          <w:sz w:val="18"/>
          <w:szCs w:val="18"/>
        </w:rPr>
        <w:t xml:space="preserve"> riciclato microforato. La </w:t>
      </w:r>
      <w:proofErr w:type="spellStart"/>
      <w:r w:rsidR="004815D4" w:rsidRPr="00DE3883">
        <w:rPr>
          <w:rFonts w:ascii="Verdana" w:hAnsi="Verdana"/>
          <w:sz w:val="18"/>
          <w:szCs w:val="18"/>
        </w:rPr>
        <w:t>forometria</w:t>
      </w:r>
      <w:proofErr w:type="spellEnd"/>
      <w:r w:rsidR="004815D4" w:rsidRPr="00DE3883">
        <w:rPr>
          <w:rFonts w:ascii="Verdana" w:hAnsi="Verdana"/>
          <w:sz w:val="18"/>
          <w:szCs w:val="18"/>
        </w:rPr>
        <w:t xml:space="preserve"> standard presenta fori</w:t>
      </w:r>
      <w:r w:rsidR="009D399F">
        <w:rPr>
          <w:rFonts w:ascii="Verdana" w:hAnsi="Verdana"/>
          <w:sz w:val="18"/>
          <w:szCs w:val="18"/>
        </w:rPr>
        <w:t xml:space="preserve"> </w:t>
      </w:r>
      <w:r w:rsidR="00775196" w:rsidRPr="00DE3883">
        <w:rPr>
          <w:rFonts w:ascii="Verdana" w:hAnsi="Verdana"/>
          <w:sz w:val="18"/>
          <w:szCs w:val="18"/>
        </w:rPr>
        <w:t xml:space="preserve">da </w:t>
      </w:r>
      <w:r w:rsidR="00775196" w:rsidRPr="00DE3883">
        <w:rPr>
          <w:rFonts w:ascii="Verdana" w:hAnsi="Verdana" w:cs="Arial"/>
          <w:sz w:val="18"/>
          <w:szCs w:val="18"/>
        </w:rPr>
        <w:t>Ø</w:t>
      </w:r>
      <w:r w:rsidR="00775196" w:rsidRPr="00DE3883">
        <w:rPr>
          <w:rFonts w:ascii="Verdana" w:hAnsi="Verdana"/>
          <w:sz w:val="18"/>
          <w:szCs w:val="18"/>
        </w:rPr>
        <w:t xml:space="preserve"> 2 mm </w:t>
      </w:r>
      <w:proofErr w:type="gramStart"/>
      <w:r w:rsidR="004815D4" w:rsidRPr="00DE3883">
        <w:rPr>
          <w:rFonts w:ascii="Verdana" w:hAnsi="Verdana"/>
          <w:sz w:val="18"/>
          <w:szCs w:val="18"/>
        </w:rPr>
        <w:t xml:space="preserve">con </w:t>
      </w:r>
      <w:r w:rsidR="00775196" w:rsidRPr="00DE3883">
        <w:rPr>
          <w:rFonts w:ascii="Verdana" w:hAnsi="Verdana"/>
          <w:sz w:val="18"/>
          <w:szCs w:val="18"/>
        </w:rPr>
        <w:t xml:space="preserve"> </w:t>
      </w:r>
      <w:r w:rsidR="0082704C" w:rsidRPr="00DE3883">
        <w:rPr>
          <w:rFonts w:ascii="Verdana" w:hAnsi="Verdana"/>
          <w:sz w:val="18"/>
          <w:szCs w:val="18"/>
        </w:rPr>
        <w:t>percentuale</w:t>
      </w:r>
      <w:proofErr w:type="gramEnd"/>
      <w:r w:rsidR="0082704C" w:rsidRPr="00DE3883">
        <w:rPr>
          <w:rFonts w:ascii="Verdana" w:hAnsi="Verdana"/>
          <w:sz w:val="18"/>
          <w:szCs w:val="18"/>
        </w:rPr>
        <w:t xml:space="preserve"> di foratura </w:t>
      </w:r>
      <w:r w:rsidR="00495EB0" w:rsidRPr="00DE3883">
        <w:rPr>
          <w:rFonts w:ascii="Verdana" w:hAnsi="Verdana"/>
          <w:sz w:val="18"/>
          <w:szCs w:val="18"/>
        </w:rPr>
        <w:t>pari a c</w:t>
      </w:r>
      <w:r w:rsidR="00622540" w:rsidRPr="00DE3883">
        <w:rPr>
          <w:rFonts w:ascii="Verdana" w:hAnsi="Verdana"/>
          <w:sz w:val="18"/>
          <w:szCs w:val="18"/>
        </w:rPr>
        <w:t>a. 18%</w:t>
      </w:r>
      <w:r w:rsidR="00775196" w:rsidRPr="00DE3883">
        <w:rPr>
          <w:rFonts w:ascii="Verdana" w:hAnsi="Verdana"/>
          <w:sz w:val="18"/>
          <w:szCs w:val="18"/>
        </w:rPr>
        <w:t xml:space="preserve">, per ottenere un soffitto uniformemente perforato. </w:t>
      </w:r>
    </w:p>
    <w:p w14:paraId="42C051CA" w14:textId="13214281" w:rsidR="00931E2A" w:rsidRDefault="00931E2A" w:rsidP="00601ABF">
      <w:pPr>
        <w:spacing w:line="360" w:lineRule="auto"/>
        <w:ind w:right="22"/>
        <w:jc w:val="both"/>
        <w:rPr>
          <w:rFonts w:ascii="Verdana" w:hAnsi="Verdana"/>
          <w:sz w:val="18"/>
          <w:szCs w:val="18"/>
        </w:rPr>
      </w:pPr>
    </w:p>
    <w:p w14:paraId="7E010A47" w14:textId="5A959B8B" w:rsidR="00931E2A" w:rsidRDefault="00931E2A" w:rsidP="00601ABF">
      <w:pPr>
        <w:spacing w:line="360" w:lineRule="auto"/>
        <w:ind w:right="22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931E2A" w14:paraId="175F9510" w14:textId="77777777" w:rsidTr="00DE3883">
        <w:tc>
          <w:tcPr>
            <w:tcW w:w="9770" w:type="dxa"/>
          </w:tcPr>
          <w:p w14:paraId="3CBC1ADE" w14:textId="5BC794AF" w:rsidR="00931E2A" w:rsidRDefault="00E22D80" w:rsidP="00601ABF">
            <w:pPr>
              <w:spacing w:line="360" w:lineRule="auto"/>
              <w:ind w:right="22"/>
              <w:jc w:val="both"/>
              <w:rPr>
                <w:rFonts w:ascii="Verdana" w:hAnsi="Verdana"/>
                <w:sz w:val="18"/>
                <w:szCs w:val="18"/>
              </w:rPr>
            </w:pPr>
            <w:r w:rsidRPr="00E22D80">
              <w:rPr>
                <w:rFonts w:ascii="Verdana" w:hAnsi="Verdana"/>
                <w:sz w:val="18"/>
                <w:szCs w:val="18"/>
              </w:rPr>
              <w:drawing>
                <wp:inline distT="0" distB="0" distL="0" distR="0" wp14:anchorId="129FF6E3" wp14:editId="1DCF18DD">
                  <wp:extent cx="5439534" cy="2581635"/>
                  <wp:effectExtent l="0" t="0" r="8890" b="9525"/>
                  <wp:docPr id="123934132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34132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534" cy="25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0B2146" w14:textId="77777777" w:rsidR="00931E2A" w:rsidRPr="00DE3883" w:rsidRDefault="00931E2A" w:rsidP="00601ABF">
      <w:pPr>
        <w:spacing w:line="360" w:lineRule="auto"/>
        <w:ind w:right="22"/>
        <w:jc w:val="both"/>
        <w:rPr>
          <w:rFonts w:ascii="Verdana" w:hAnsi="Verdana"/>
          <w:sz w:val="18"/>
          <w:szCs w:val="18"/>
        </w:rPr>
      </w:pPr>
    </w:p>
    <w:p w14:paraId="062D7A67" w14:textId="669C3553" w:rsidR="00B3790F" w:rsidRPr="00DE3883" w:rsidRDefault="009D2E4B" w:rsidP="00601ABF">
      <w:pPr>
        <w:spacing w:line="360" w:lineRule="auto"/>
        <w:ind w:right="22"/>
        <w:jc w:val="both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>Le dimensioni delle doghe sono le seguenti</w:t>
      </w:r>
      <w:r w:rsidR="00740DAE">
        <w:rPr>
          <w:rFonts w:ascii="Verdana" w:hAnsi="Verdana"/>
          <w:sz w:val="18"/>
          <w:szCs w:val="18"/>
        </w:rPr>
        <w:t>: l</w:t>
      </w:r>
      <w:r w:rsidR="00586C7C" w:rsidRPr="00DE3883">
        <w:rPr>
          <w:rFonts w:ascii="Verdana" w:hAnsi="Verdana"/>
          <w:sz w:val="18"/>
          <w:szCs w:val="18"/>
          <w:u w:val="single"/>
        </w:rPr>
        <w:t>arghezze</w:t>
      </w:r>
      <w:r w:rsidR="0008367C" w:rsidRPr="00DE3883">
        <w:rPr>
          <w:rFonts w:ascii="Verdana" w:hAnsi="Verdana"/>
          <w:sz w:val="18"/>
          <w:szCs w:val="18"/>
        </w:rPr>
        <w:t xml:space="preserve">: </w:t>
      </w:r>
      <w:r w:rsidR="00586C7C" w:rsidRPr="00DE3883">
        <w:rPr>
          <w:rFonts w:ascii="Verdana" w:hAnsi="Verdana"/>
          <w:sz w:val="18"/>
          <w:szCs w:val="18"/>
        </w:rPr>
        <w:t>150,</w:t>
      </w:r>
      <w:r w:rsidR="00495EB0" w:rsidRPr="00DE3883">
        <w:rPr>
          <w:rFonts w:ascii="Verdana" w:hAnsi="Verdana"/>
          <w:sz w:val="18"/>
          <w:szCs w:val="18"/>
        </w:rPr>
        <w:t xml:space="preserve"> </w:t>
      </w:r>
      <w:r w:rsidR="00586C7C" w:rsidRPr="00DE3883">
        <w:rPr>
          <w:rFonts w:ascii="Verdana" w:hAnsi="Verdana"/>
          <w:sz w:val="18"/>
          <w:szCs w:val="18"/>
        </w:rPr>
        <w:t>200,</w:t>
      </w:r>
      <w:r w:rsidR="00495EB0" w:rsidRPr="00DE3883">
        <w:rPr>
          <w:rFonts w:ascii="Verdana" w:hAnsi="Verdana"/>
          <w:sz w:val="18"/>
          <w:szCs w:val="18"/>
        </w:rPr>
        <w:t xml:space="preserve"> </w:t>
      </w:r>
      <w:r w:rsidR="00586C7C" w:rsidRPr="00DE3883">
        <w:rPr>
          <w:rFonts w:ascii="Verdana" w:hAnsi="Verdana"/>
          <w:sz w:val="18"/>
          <w:szCs w:val="18"/>
        </w:rPr>
        <w:t>225 mm</w:t>
      </w:r>
      <w:r w:rsidR="00740DAE">
        <w:rPr>
          <w:rFonts w:ascii="Verdana" w:hAnsi="Verdana"/>
          <w:sz w:val="18"/>
          <w:szCs w:val="18"/>
        </w:rPr>
        <w:t xml:space="preserve">, </w:t>
      </w:r>
      <w:r w:rsidR="00740DAE" w:rsidRPr="00DE3883">
        <w:rPr>
          <w:rFonts w:ascii="Verdana" w:hAnsi="Verdana"/>
          <w:sz w:val="18"/>
          <w:szCs w:val="18"/>
          <w:u w:val="single"/>
        </w:rPr>
        <w:t>spessore</w:t>
      </w:r>
      <w:r w:rsidR="00740DAE">
        <w:rPr>
          <w:rFonts w:ascii="Verdana" w:hAnsi="Verdana"/>
          <w:sz w:val="18"/>
          <w:szCs w:val="18"/>
        </w:rPr>
        <w:t xml:space="preserve">: </w:t>
      </w:r>
      <w:r w:rsidR="00FA5712" w:rsidRPr="00DE3883">
        <w:rPr>
          <w:rFonts w:ascii="Verdana" w:hAnsi="Verdana"/>
          <w:sz w:val="18"/>
          <w:szCs w:val="18"/>
        </w:rPr>
        <w:t>0,5 mm</w:t>
      </w:r>
      <w:r w:rsidR="00740DAE">
        <w:rPr>
          <w:rFonts w:ascii="Verdana" w:hAnsi="Verdana"/>
          <w:sz w:val="18"/>
          <w:szCs w:val="18"/>
        </w:rPr>
        <w:t xml:space="preserve">; </w:t>
      </w:r>
      <w:r w:rsidR="00740DAE" w:rsidRPr="00DE3883">
        <w:rPr>
          <w:rFonts w:ascii="Verdana" w:hAnsi="Verdana"/>
          <w:sz w:val="18"/>
          <w:szCs w:val="18"/>
          <w:u w:val="single"/>
        </w:rPr>
        <w:t>lunghezza</w:t>
      </w:r>
      <w:r w:rsidR="00740DAE">
        <w:rPr>
          <w:rFonts w:ascii="Verdana" w:hAnsi="Verdana"/>
          <w:sz w:val="18"/>
          <w:szCs w:val="18"/>
        </w:rPr>
        <w:t xml:space="preserve">: </w:t>
      </w:r>
      <w:r w:rsidR="00740DAE" w:rsidRPr="00D1037F">
        <w:rPr>
          <w:rFonts w:ascii="Verdana" w:hAnsi="Verdana"/>
          <w:sz w:val="18"/>
          <w:szCs w:val="18"/>
        </w:rPr>
        <w:t>secondo le dimensioni del locale (max. 8000 mm).</w:t>
      </w:r>
    </w:p>
    <w:p w14:paraId="4838901D" w14:textId="717E3ADC" w:rsidR="00775196" w:rsidRPr="00DE3883" w:rsidRDefault="00E67A43" w:rsidP="00601ABF">
      <w:pPr>
        <w:spacing w:line="360" w:lineRule="auto"/>
        <w:ind w:right="22"/>
        <w:jc w:val="both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 xml:space="preserve">Sono possibili le seguenti modularità in funzione delle caratteristiche dell’edificio: </w:t>
      </w:r>
      <w:r w:rsidR="0082704C" w:rsidRPr="00DE3883">
        <w:rPr>
          <w:rFonts w:ascii="Verdana" w:hAnsi="Verdana"/>
          <w:sz w:val="18"/>
          <w:szCs w:val="18"/>
        </w:rPr>
        <w:t>1200, 1350, 1500, 180</w:t>
      </w:r>
      <w:r w:rsidR="005D3586" w:rsidRPr="00DE3883">
        <w:rPr>
          <w:rFonts w:ascii="Verdana" w:hAnsi="Verdana"/>
          <w:sz w:val="18"/>
          <w:szCs w:val="18"/>
        </w:rPr>
        <w:t>0</w:t>
      </w:r>
      <w:r w:rsidR="0082704C" w:rsidRPr="00DE3883">
        <w:rPr>
          <w:rFonts w:ascii="Verdana" w:hAnsi="Verdana"/>
          <w:sz w:val="18"/>
          <w:szCs w:val="18"/>
        </w:rPr>
        <w:t xml:space="preserve"> mm</w:t>
      </w:r>
      <w:r w:rsidR="0008367C" w:rsidRPr="00DE3883">
        <w:rPr>
          <w:rFonts w:ascii="Verdana" w:hAnsi="Verdana"/>
          <w:sz w:val="18"/>
          <w:szCs w:val="18"/>
        </w:rPr>
        <w:t xml:space="preserve">. </w:t>
      </w:r>
      <w:r w:rsidR="00775196" w:rsidRPr="00DE3883">
        <w:rPr>
          <w:rFonts w:ascii="Verdana" w:hAnsi="Verdana"/>
          <w:sz w:val="18"/>
          <w:szCs w:val="18"/>
        </w:rPr>
        <w:t xml:space="preserve">Il telaio di sospensione è costituito da profili di colore nero in acciaio </w:t>
      </w:r>
      <w:proofErr w:type="spellStart"/>
      <w:r w:rsidR="00775196" w:rsidRPr="00DE3883">
        <w:rPr>
          <w:rFonts w:ascii="Verdana" w:hAnsi="Verdana"/>
          <w:sz w:val="18"/>
          <w:szCs w:val="18"/>
        </w:rPr>
        <w:t>pre</w:t>
      </w:r>
      <w:proofErr w:type="spellEnd"/>
      <w:r w:rsidR="00A029E9" w:rsidRPr="00DE3883">
        <w:rPr>
          <w:rFonts w:ascii="Verdana" w:hAnsi="Verdana"/>
          <w:sz w:val="18"/>
          <w:szCs w:val="18"/>
        </w:rPr>
        <w:t>-</w:t>
      </w:r>
      <w:r w:rsidR="00775196" w:rsidRPr="00DE3883">
        <w:rPr>
          <w:rFonts w:ascii="Verdana" w:hAnsi="Verdana"/>
          <w:sz w:val="18"/>
          <w:szCs w:val="18"/>
        </w:rPr>
        <w:t>verniciato su entrambi i lati con ver</w:t>
      </w:r>
      <w:r w:rsidR="007C3F5E" w:rsidRPr="00DE3883">
        <w:rPr>
          <w:rFonts w:ascii="Verdana" w:hAnsi="Verdana"/>
          <w:sz w:val="18"/>
          <w:szCs w:val="18"/>
        </w:rPr>
        <w:t>niciatura a forno</w:t>
      </w:r>
      <w:r w:rsidR="009D2E4B" w:rsidRPr="00DE3883">
        <w:rPr>
          <w:rFonts w:ascii="Verdana" w:hAnsi="Verdana"/>
          <w:sz w:val="18"/>
          <w:szCs w:val="18"/>
        </w:rPr>
        <w:t xml:space="preserve">, con le seguenti dimensioni: </w:t>
      </w:r>
      <w:r w:rsidR="00B3790F" w:rsidRPr="00DE3883">
        <w:rPr>
          <w:rFonts w:ascii="Verdana" w:hAnsi="Verdana"/>
          <w:sz w:val="18"/>
          <w:szCs w:val="18"/>
          <w:u w:val="single"/>
        </w:rPr>
        <w:t>s</w:t>
      </w:r>
      <w:r w:rsidR="0008367C" w:rsidRPr="00DE3883">
        <w:rPr>
          <w:rFonts w:ascii="Verdana" w:hAnsi="Verdana"/>
          <w:sz w:val="18"/>
          <w:szCs w:val="18"/>
          <w:u w:val="single"/>
        </w:rPr>
        <w:t>pessore</w:t>
      </w:r>
      <w:r w:rsidR="0008367C" w:rsidRPr="00DE3883">
        <w:rPr>
          <w:rFonts w:ascii="Verdana" w:hAnsi="Verdana"/>
          <w:sz w:val="18"/>
          <w:szCs w:val="18"/>
        </w:rPr>
        <w:t xml:space="preserve">: </w:t>
      </w:r>
      <w:r w:rsidR="00775196" w:rsidRPr="00DE3883">
        <w:rPr>
          <w:rFonts w:ascii="Verdana" w:hAnsi="Verdana"/>
          <w:sz w:val="18"/>
          <w:szCs w:val="18"/>
        </w:rPr>
        <w:t>0,6 mm</w:t>
      </w:r>
      <w:r w:rsidR="00740DAE">
        <w:rPr>
          <w:rFonts w:ascii="Verdana" w:hAnsi="Verdana"/>
          <w:sz w:val="18"/>
          <w:szCs w:val="18"/>
        </w:rPr>
        <w:t xml:space="preserve">, </w:t>
      </w:r>
      <w:r w:rsidR="00740DAE" w:rsidRPr="00DE3883">
        <w:rPr>
          <w:rFonts w:ascii="Verdana" w:hAnsi="Verdana"/>
          <w:sz w:val="18"/>
          <w:szCs w:val="18"/>
          <w:u w:val="single"/>
        </w:rPr>
        <w:t>a</w:t>
      </w:r>
      <w:r w:rsidR="00D55D0E" w:rsidRPr="00DE3883">
        <w:rPr>
          <w:rFonts w:ascii="Verdana" w:hAnsi="Verdana"/>
          <w:sz w:val="18"/>
          <w:szCs w:val="18"/>
          <w:u w:val="single"/>
        </w:rPr>
        <w:t>ltezza</w:t>
      </w:r>
      <w:r w:rsidR="00D55D0E" w:rsidRPr="00DE3883">
        <w:rPr>
          <w:rFonts w:ascii="Verdana" w:hAnsi="Verdana"/>
          <w:sz w:val="18"/>
          <w:szCs w:val="18"/>
        </w:rPr>
        <w:t>:</w:t>
      </w:r>
      <w:r w:rsidR="00622540" w:rsidRPr="00DE3883">
        <w:rPr>
          <w:rFonts w:ascii="Verdana" w:hAnsi="Verdana"/>
          <w:sz w:val="18"/>
          <w:szCs w:val="18"/>
        </w:rPr>
        <w:t>29</w:t>
      </w:r>
      <w:r w:rsidR="00D6665D" w:rsidRPr="00DE3883">
        <w:rPr>
          <w:rFonts w:ascii="Verdana" w:hAnsi="Verdana"/>
          <w:sz w:val="18"/>
          <w:szCs w:val="18"/>
        </w:rPr>
        <w:t xml:space="preserve"> mm</w:t>
      </w:r>
      <w:r w:rsidR="00740DAE">
        <w:rPr>
          <w:rFonts w:ascii="Verdana" w:hAnsi="Verdana"/>
          <w:sz w:val="18"/>
          <w:szCs w:val="18"/>
        </w:rPr>
        <w:t>, l</w:t>
      </w:r>
      <w:r w:rsidR="00D55D0E" w:rsidRPr="00DE3883">
        <w:rPr>
          <w:rFonts w:ascii="Verdana" w:hAnsi="Verdana"/>
          <w:sz w:val="18"/>
          <w:szCs w:val="18"/>
        </w:rPr>
        <w:t xml:space="preserve">arghezza 39 mm. </w:t>
      </w:r>
    </w:p>
    <w:p w14:paraId="30052AC1" w14:textId="5AA1E6ED" w:rsidR="00775196" w:rsidRPr="00DE3883" w:rsidRDefault="00775196" w:rsidP="00601ABF">
      <w:pPr>
        <w:spacing w:line="360" w:lineRule="auto"/>
        <w:ind w:right="22"/>
        <w:jc w:val="both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 xml:space="preserve">I profili sono dotati di punzoni ad una distanza di 25 mm per consentire il ritaglio (per le diverse lunghezze) e l’aggancio dei pannelli di tutti i moduli. La parte superiore del supporto è provvista di incastri fissaggio ogni </w:t>
      </w:r>
      <w:r w:rsidR="00622540" w:rsidRPr="00DE3883">
        <w:rPr>
          <w:rFonts w:ascii="Verdana" w:hAnsi="Verdana"/>
          <w:sz w:val="18"/>
          <w:szCs w:val="18"/>
        </w:rPr>
        <w:t>25</w:t>
      </w:r>
      <w:r w:rsidRPr="00DE3883">
        <w:rPr>
          <w:rFonts w:ascii="Verdana" w:hAnsi="Verdana"/>
          <w:sz w:val="18"/>
          <w:szCs w:val="18"/>
        </w:rPr>
        <w:t xml:space="preserve"> mm per fissare il profilo portante con un veloce bloccaggio (</w:t>
      </w:r>
      <w:proofErr w:type="spellStart"/>
      <w:r w:rsidRPr="00DE3883">
        <w:rPr>
          <w:rFonts w:ascii="Verdana" w:hAnsi="Verdana"/>
          <w:sz w:val="18"/>
          <w:szCs w:val="18"/>
        </w:rPr>
        <w:t>quick</w:t>
      </w:r>
      <w:proofErr w:type="spellEnd"/>
      <w:r w:rsidRPr="00DE3883">
        <w:rPr>
          <w:rFonts w:ascii="Verdana" w:hAnsi="Verdana"/>
          <w:sz w:val="18"/>
          <w:szCs w:val="18"/>
        </w:rPr>
        <w:t>-binder) alla struttura di supporto</w:t>
      </w:r>
      <w:r w:rsidR="0008367C" w:rsidRPr="00DE3883">
        <w:rPr>
          <w:rFonts w:ascii="Verdana" w:hAnsi="Verdana"/>
          <w:sz w:val="18"/>
          <w:szCs w:val="18"/>
        </w:rPr>
        <w:t xml:space="preserve">. </w:t>
      </w:r>
      <w:r w:rsidRPr="00DE3883">
        <w:rPr>
          <w:rFonts w:ascii="Verdana" w:hAnsi="Verdana"/>
          <w:sz w:val="18"/>
          <w:szCs w:val="18"/>
        </w:rPr>
        <w:t xml:space="preserve">La struttura del telaio di sospensione risulta invisibile ed è progettata in modo tale che ciascun pannello possa essere rimosso individualmente </w:t>
      </w:r>
      <w:r w:rsidR="0008367C" w:rsidRPr="00DE3883">
        <w:rPr>
          <w:rFonts w:ascii="Verdana" w:hAnsi="Verdana"/>
          <w:sz w:val="18"/>
          <w:szCs w:val="18"/>
        </w:rPr>
        <w:t xml:space="preserve">senza particolare attrezzatura. </w:t>
      </w:r>
      <w:r w:rsidR="00622540" w:rsidRPr="00DE3883">
        <w:rPr>
          <w:rFonts w:ascii="Verdana" w:hAnsi="Verdana"/>
          <w:sz w:val="18"/>
          <w:szCs w:val="18"/>
        </w:rPr>
        <w:t xml:space="preserve">Qualsiasi sia la modularità adottata, </w:t>
      </w:r>
      <w:r w:rsidR="008078C9" w:rsidRPr="00DE3883">
        <w:rPr>
          <w:rFonts w:ascii="Verdana" w:hAnsi="Verdana"/>
          <w:sz w:val="18"/>
          <w:szCs w:val="18"/>
        </w:rPr>
        <w:t>il pannello del modulo (</w:t>
      </w:r>
      <w:proofErr w:type="spellStart"/>
      <w:r w:rsidR="008078C9" w:rsidRPr="00DE3883">
        <w:rPr>
          <w:rFonts w:ascii="Verdana" w:hAnsi="Verdana"/>
          <w:sz w:val="18"/>
          <w:szCs w:val="18"/>
        </w:rPr>
        <w:t>Bandraster</w:t>
      </w:r>
      <w:proofErr w:type="spellEnd"/>
      <w:r w:rsidR="008078C9" w:rsidRPr="00DE3883">
        <w:rPr>
          <w:rFonts w:ascii="Verdana" w:hAnsi="Verdana"/>
          <w:sz w:val="18"/>
          <w:szCs w:val="18"/>
        </w:rPr>
        <w:t xml:space="preserve">) verrà adeguatamente </w:t>
      </w:r>
      <w:r w:rsidRPr="00DE3883">
        <w:rPr>
          <w:rFonts w:ascii="Verdana" w:hAnsi="Verdana"/>
          <w:sz w:val="18"/>
          <w:szCs w:val="18"/>
        </w:rPr>
        <w:t>rinforzato per supportare l’eventuale parete. Questo pannello per finitura, perforazione e forma risulta identico agli altri pannelli del soffitto e quindi non ricon</w:t>
      </w:r>
      <w:r w:rsidR="007D525D" w:rsidRPr="00DE3883">
        <w:rPr>
          <w:rFonts w:ascii="Verdana" w:hAnsi="Verdana"/>
          <w:sz w:val="18"/>
          <w:szCs w:val="18"/>
        </w:rPr>
        <w:t>o</w:t>
      </w:r>
      <w:r w:rsidRPr="00DE3883">
        <w:rPr>
          <w:rFonts w:ascii="Verdana" w:hAnsi="Verdana"/>
          <w:sz w:val="18"/>
          <w:szCs w:val="18"/>
        </w:rPr>
        <w:t>scibile garantendo così la continuità del soffitto.</w:t>
      </w:r>
      <w:r w:rsidR="00706684" w:rsidRPr="00DE3883">
        <w:rPr>
          <w:rFonts w:ascii="Verdana" w:hAnsi="Verdana"/>
          <w:sz w:val="18"/>
          <w:szCs w:val="18"/>
        </w:rPr>
        <w:t xml:space="preserve"> </w:t>
      </w:r>
      <w:r w:rsidRPr="00DE3883">
        <w:rPr>
          <w:rFonts w:ascii="Verdana" w:hAnsi="Verdana"/>
          <w:sz w:val="18"/>
          <w:szCs w:val="18"/>
        </w:rPr>
        <w:t>Il pannello della barra a parete risulta invisibile e sarà sempre indipendente dal telaio di so</w:t>
      </w:r>
      <w:r w:rsidR="0082704C" w:rsidRPr="00DE3883">
        <w:rPr>
          <w:rFonts w:ascii="Verdana" w:hAnsi="Verdana"/>
          <w:sz w:val="18"/>
          <w:szCs w:val="18"/>
        </w:rPr>
        <w:t>s</w:t>
      </w:r>
      <w:r w:rsidRPr="00DE3883">
        <w:rPr>
          <w:rFonts w:ascii="Verdana" w:hAnsi="Verdana"/>
          <w:sz w:val="18"/>
          <w:szCs w:val="18"/>
        </w:rPr>
        <w:t>pensione primario e può essere semplicemente rimosso in qualsiasi momento con costi contenuti.</w:t>
      </w:r>
      <w:r w:rsidR="0008367C" w:rsidRPr="00DE3883">
        <w:rPr>
          <w:rFonts w:ascii="Verdana" w:hAnsi="Verdana"/>
          <w:sz w:val="18"/>
          <w:szCs w:val="18"/>
        </w:rPr>
        <w:t xml:space="preserve"> </w:t>
      </w:r>
      <w:r w:rsidRPr="00DE3883">
        <w:rPr>
          <w:rFonts w:ascii="Verdana" w:hAnsi="Verdana"/>
          <w:sz w:val="18"/>
          <w:szCs w:val="18"/>
        </w:rPr>
        <w:t xml:space="preserve">Il </w:t>
      </w:r>
      <w:r w:rsidR="007D525D" w:rsidRPr="00DE3883">
        <w:rPr>
          <w:rFonts w:ascii="Verdana" w:hAnsi="Verdana"/>
          <w:sz w:val="18"/>
          <w:szCs w:val="18"/>
        </w:rPr>
        <w:t>committente</w:t>
      </w:r>
      <w:r w:rsidRPr="00DE3883">
        <w:rPr>
          <w:rFonts w:ascii="Verdana" w:hAnsi="Verdana"/>
          <w:sz w:val="18"/>
          <w:szCs w:val="18"/>
        </w:rPr>
        <w:t xml:space="preserve"> può scegliere se vuole una guida a muro visibile o invisibile. Parallelamente alla parete un travetto Omega, larghezza 100 mm, sarà installato per consentire il posizionamento delle pareti divisorie che definiscono il corridoio.</w:t>
      </w:r>
      <w:r w:rsidR="00706684" w:rsidRPr="00DE3883">
        <w:rPr>
          <w:rFonts w:ascii="Verdana" w:hAnsi="Verdana"/>
          <w:sz w:val="18"/>
          <w:szCs w:val="18"/>
        </w:rPr>
        <w:t xml:space="preserve"> </w:t>
      </w:r>
      <w:r w:rsidRPr="00DE3883">
        <w:rPr>
          <w:rFonts w:ascii="Verdana" w:hAnsi="Verdana" w:cs="Arial"/>
          <w:sz w:val="18"/>
          <w:szCs w:val="18"/>
        </w:rPr>
        <w:t>Al fine di ottenere una finitura liscia intorno al soffitto un profilo di finitura bordo a forma di U sarà posizionato sull'estremità dell’area del locale longitudinalmente al soffitto.</w:t>
      </w:r>
      <w:r w:rsidR="00706684" w:rsidRPr="00DE3883">
        <w:rPr>
          <w:rFonts w:ascii="Verdana" w:hAnsi="Verdana" w:cs="Arial"/>
          <w:sz w:val="18"/>
          <w:szCs w:val="18"/>
        </w:rPr>
        <w:t xml:space="preserve"> </w:t>
      </w:r>
      <w:r w:rsidR="00D6665D" w:rsidRPr="00DE3883">
        <w:rPr>
          <w:rFonts w:ascii="Verdana" w:hAnsi="Verdana"/>
          <w:sz w:val="18"/>
          <w:szCs w:val="18"/>
        </w:rPr>
        <w:t>Il soffitto</w:t>
      </w:r>
      <w:r w:rsidR="00615D03" w:rsidRPr="00DE3883">
        <w:rPr>
          <w:rFonts w:ascii="Verdana" w:hAnsi="Verdana"/>
          <w:sz w:val="18"/>
          <w:szCs w:val="18"/>
        </w:rPr>
        <w:t xml:space="preserve"> radiante</w:t>
      </w:r>
      <w:r w:rsidRPr="00DE3883">
        <w:rPr>
          <w:rFonts w:ascii="Verdana" w:hAnsi="Verdana"/>
          <w:sz w:val="18"/>
          <w:szCs w:val="18"/>
        </w:rPr>
        <w:t xml:space="preserve"> </w:t>
      </w:r>
      <w:r w:rsidR="00615D03" w:rsidRPr="00DE3883">
        <w:rPr>
          <w:rFonts w:ascii="Verdana" w:hAnsi="Verdana"/>
          <w:sz w:val="18"/>
          <w:szCs w:val="18"/>
        </w:rPr>
        <w:t>viene adattato alla costruzione, rispettando i passi delle vetrate o qualsiasi altra esigenza architettonica.</w:t>
      </w:r>
      <w:r w:rsidR="00706684" w:rsidRPr="00DE3883">
        <w:rPr>
          <w:rFonts w:ascii="Verdana" w:hAnsi="Verdana"/>
          <w:sz w:val="18"/>
          <w:szCs w:val="18"/>
        </w:rPr>
        <w:t xml:space="preserve"> </w:t>
      </w:r>
      <w:r w:rsidRPr="00DE3883">
        <w:rPr>
          <w:rFonts w:ascii="Verdana" w:hAnsi="Verdana"/>
          <w:sz w:val="18"/>
          <w:szCs w:val="18"/>
        </w:rPr>
        <w:t>Per garantire un alto rendimento, il contatto tra i tubi di conduzione con il pannello avviene tramite una particolare clips opportunamente studiata, Easy-Plus Clips</w:t>
      </w:r>
      <w:r w:rsidRPr="00DE3883">
        <w:rPr>
          <w:rFonts w:ascii="Verdana" w:hAnsi="Verdana"/>
          <w:sz w:val="18"/>
          <w:szCs w:val="18"/>
          <w:vertAlign w:val="superscript"/>
        </w:rPr>
        <w:t>®</w:t>
      </w:r>
      <w:r w:rsidRPr="00DE3883">
        <w:rPr>
          <w:rFonts w:ascii="Verdana" w:hAnsi="Verdana"/>
          <w:sz w:val="18"/>
          <w:szCs w:val="18"/>
        </w:rPr>
        <w:t xml:space="preserve">, </w:t>
      </w:r>
      <w:r w:rsidRPr="00DE3883">
        <w:rPr>
          <w:rFonts w:ascii="Verdana" w:hAnsi="Verdana"/>
          <w:sz w:val="18"/>
          <w:szCs w:val="18"/>
        </w:rPr>
        <w:lastRenderedPageBreak/>
        <w:t>co</w:t>
      </w:r>
      <w:r w:rsidR="00615D03" w:rsidRPr="00DE3883">
        <w:rPr>
          <w:rFonts w:ascii="Verdana" w:hAnsi="Verdana"/>
          <w:sz w:val="18"/>
          <w:szCs w:val="18"/>
        </w:rPr>
        <w:t xml:space="preserve">sì da assicurare una costante e </w:t>
      </w:r>
      <w:r w:rsidR="00622540" w:rsidRPr="00DE3883">
        <w:rPr>
          <w:rFonts w:ascii="Verdana" w:hAnsi="Verdana"/>
          <w:sz w:val="18"/>
          <w:szCs w:val="18"/>
        </w:rPr>
        <w:t xml:space="preserve">omogenea </w:t>
      </w:r>
      <w:r w:rsidRPr="00DE3883">
        <w:rPr>
          <w:rFonts w:ascii="Verdana" w:hAnsi="Verdana"/>
          <w:sz w:val="18"/>
          <w:szCs w:val="18"/>
        </w:rPr>
        <w:t xml:space="preserve">ripartizione della </w:t>
      </w:r>
      <w:r w:rsidR="007C3F5E" w:rsidRPr="00DE3883">
        <w:rPr>
          <w:rFonts w:ascii="Verdana" w:hAnsi="Verdana"/>
          <w:sz w:val="18"/>
          <w:szCs w:val="18"/>
        </w:rPr>
        <w:t>temperatura su tutti i pannelli</w:t>
      </w:r>
      <w:r w:rsidRPr="00DE3883">
        <w:rPr>
          <w:rFonts w:ascii="Verdana" w:hAnsi="Verdana"/>
          <w:sz w:val="18"/>
          <w:szCs w:val="18"/>
        </w:rPr>
        <w:t>, ottenendo una elevata efficienza.</w:t>
      </w:r>
    </w:p>
    <w:p w14:paraId="047D3772" w14:textId="4AE6CD0C" w:rsidR="00614BFA" w:rsidRPr="00DE3883" w:rsidRDefault="0023764F" w:rsidP="00601ABF">
      <w:pPr>
        <w:spacing w:line="360" w:lineRule="auto"/>
        <w:ind w:right="23"/>
        <w:jc w:val="both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>La tubazione è costituito d</w:t>
      </w:r>
      <w:r w:rsidR="00614BFA" w:rsidRPr="00DE3883">
        <w:rPr>
          <w:rFonts w:ascii="Verdana" w:hAnsi="Verdana"/>
          <w:sz w:val="18"/>
          <w:szCs w:val="18"/>
        </w:rPr>
        <w:t xml:space="preserve">a 5 strati in polietilene resistente alle alte temperature PE-RT del tipo II </w:t>
      </w:r>
      <w:proofErr w:type="spellStart"/>
      <w:r w:rsidR="00614BFA" w:rsidRPr="00DE3883">
        <w:rPr>
          <w:rFonts w:ascii="Verdana" w:hAnsi="Verdana"/>
          <w:sz w:val="18"/>
          <w:szCs w:val="18"/>
        </w:rPr>
        <w:t>MidiX</w:t>
      </w:r>
      <w:proofErr w:type="spellEnd"/>
      <w:r w:rsidR="00614BFA" w:rsidRPr="00DE3883">
        <w:rPr>
          <w:rFonts w:ascii="Verdana" w:hAnsi="Verdana"/>
          <w:sz w:val="18"/>
          <w:szCs w:val="18"/>
        </w:rPr>
        <w:t xml:space="preserve"> Plus (ISO 22391, ISO 24033, ISO 21003, </w:t>
      </w:r>
      <w:r w:rsidR="00B66B7F" w:rsidRPr="00DE3883">
        <w:rPr>
          <w:rFonts w:ascii="Verdana" w:hAnsi="Verdana"/>
          <w:sz w:val="18"/>
          <w:szCs w:val="18"/>
        </w:rPr>
        <w:t>UNI EN 1264</w:t>
      </w:r>
      <w:r w:rsidR="00614BFA" w:rsidRPr="00DE3883">
        <w:rPr>
          <w:rFonts w:ascii="Verdana" w:hAnsi="Verdana"/>
          <w:sz w:val="18"/>
          <w:szCs w:val="18"/>
        </w:rPr>
        <w:t>, BRL 5602, BRL 5607, DIN 4726) con barriera all'ossigeno in EVOH nello spessore del tubo e permeabilità al vapore inferiore a 0,32 mg/(m²d) a 40°C ed a 3,6 mg/(m²d) a 80°C testata secondo ISO 17455 in corrispondenza alle normative BRL 5602 - BRL 5607 e DIN 4726,</w:t>
      </w:r>
      <w:r w:rsidR="00591E33" w:rsidRPr="00DE3883">
        <w:rPr>
          <w:rFonts w:ascii="Verdana" w:hAnsi="Verdana"/>
          <w:sz w:val="18"/>
          <w:szCs w:val="18"/>
        </w:rPr>
        <w:t>UNI EN 1264</w:t>
      </w:r>
      <w:r w:rsidR="00614BFA" w:rsidRPr="00DE3883">
        <w:rPr>
          <w:rFonts w:ascii="Verdana" w:hAnsi="Verdana"/>
          <w:sz w:val="18"/>
          <w:szCs w:val="18"/>
        </w:rPr>
        <w:t xml:space="preserve">-4, con, caratteristiche di resistenza meccanica che lo rendono appartenente alle classi 4 a 6 bar (ISO 10508) per una vita prevista di 50 anni; diametro 14 x 1,25 mm ( </w:t>
      </w:r>
      <w:r w:rsidR="00B66B7F" w:rsidRPr="00DE3883">
        <w:rPr>
          <w:rFonts w:ascii="Verdana" w:hAnsi="Verdana"/>
          <w:sz w:val="18"/>
          <w:szCs w:val="18"/>
        </w:rPr>
        <w:t>UNI EN 1264</w:t>
      </w:r>
      <w:r w:rsidR="00614BFA" w:rsidRPr="00DE3883">
        <w:rPr>
          <w:rFonts w:ascii="Verdana" w:hAnsi="Verdana"/>
          <w:sz w:val="18"/>
          <w:szCs w:val="18"/>
        </w:rPr>
        <w:t>-4); posabile a freddo</w:t>
      </w:r>
      <w:r w:rsidR="00AC5497" w:rsidRPr="00DE3883">
        <w:rPr>
          <w:rFonts w:ascii="Verdana" w:hAnsi="Verdana"/>
          <w:sz w:val="18"/>
          <w:szCs w:val="18"/>
        </w:rPr>
        <w:t xml:space="preserve">. </w:t>
      </w:r>
      <w:r w:rsidR="00614BFA" w:rsidRPr="00DE3883">
        <w:rPr>
          <w:rFonts w:ascii="Verdana" w:hAnsi="Verdana"/>
          <w:sz w:val="18"/>
          <w:szCs w:val="18"/>
        </w:rPr>
        <w:t>Certificazione di sistema KOMO K 86478 e DIN CERTCO 3V399 PE-RT</w:t>
      </w:r>
      <w:r w:rsidR="00591E33" w:rsidRPr="00DE3883">
        <w:rPr>
          <w:rFonts w:ascii="Verdana" w:hAnsi="Verdana"/>
          <w:sz w:val="18"/>
          <w:szCs w:val="18"/>
        </w:rPr>
        <w:t xml:space="preserve"> e certificazione prodotto SKZ A 748</w:t>
      </w:r>
    </w:p>
    <w:p w14:paraId="621A4DCF" w14:textId="382E804E" w:rsidR="00614BFA" w:rsidRPr="00DE3883" w:rsidRDefault="00614BFA" w:rsidP="00601ABF">
      <w:pPr>
        <w:spacing w:line="360" w:lineRule="auto"/>
        <w:ind w:right="23"/>
        <w:jc w:val="both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>Pressione massima di esercizio: 6 Bar</w:t>
      </w:r>
    </w:p>
    <w:p w14:paraId="2627E215" w14:textId="61BE0F62" w:rsidR="00614BFA" w:rsidRPr="00DE3883" w:rsidRDefault="00614BFA" w:rsidP="00601ABF">
      <w:pPr>
        <w:spacing w:line="360" w:lineRule="auto"/>
        <w:ind w:right="23"/>
        <w:jc w:val="both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>Assenza di connessioni, raccorderia e fless</w:t>
      </w:r>
      <w:r w:rsidR="0008367C" w:rsidRPr="00DE3883">
        <w:rPr>
          <w:rFonts w:ascii="Verdana" w:hAnsi="Verdana"/>
          <w:sz w:val="18"/>
          <w:szCs w:val="18"/>
        </w:rPr>
        <w:t>ibili all’interno dei locali.</w:t>
      </w:r>
    </w:p>
    <w:p w14:paraId="68F6EF52" w14:textId="4615FC9E" w:rsidR="00DD7B7A" w:rsidRPr="00DE3883" w:rsidRDefault="00706684" w:rsidP="00601ABF">
      <w:pPr>
        <w:spacing w:line="360" w:lineRule="auto"/>
        <w:ind w:right="22"/>
        <w:jc w:val="both"/>
        <w:rPr>
          <w:rFonts w:ascii="Verdana" w:hAnsi="Verdana" w:cs="Arial"/>
          <w:color w:val="222222"/>
          <w:sz w:val="18"/>
          <w:szCs w:val="18"/>
        </w:rPr>
      </w:pPr>
      <w:r w:rsidRPr="00DE3883">
        <w:rPr>
          <w:rFonts w:ascii="Verdana" w:hAnsi="Verdana" w:cs="Arial"/>
          <w:color w:val="222222"/>
          <w:sz w:val="18"/>
          <w:szCs w:val="18"/>
        </w:rPr>
        <w:t>R</w:t>
      </w:r>
      <w:r w:rsidR="0023764F" w:rsidRPr="00DE3883">
        <w:rPr>
          <w:rFonts w:ascii="Verdana" w:hAnsi="Verdana" w:cs="Arial"/>
          <w:color w:val="222222"/>
          <w:sz w:val="18"/>
          <w:szCs w:val="18"/>
        </w:rPr>
        <w:t>ese in raffrescamento</w:t>
      </w:r>
      <w:r w:rsidR="00A029E9" w:rsidRPr="00DE3883">
        <w:rPr>
          <w:rFonts w:ascii="Verdana" w:hAnsi="Verdana" w:cs="Arial"/>
          <w:b/>
          <w:color w:val="222222"/>
          <w:sz w:val="18"/>
          <w:szCs w:val="18"/>
        </w:rPr>
        <w:t xml:space="preserve"> 74 W/m²</w:t>
      </w:r>
      <w:r w:rsidR="00A137E7">
        <w:rPr>
          <w:rFonts w:ascii="Verdana" w:hAnsi="Verdana" w:cs="Arial"/>
          <w:color w:val="222222"/>
          <w:sz w:val="18"/>
          <w:szCs w:val="18"/>
        </w:rPr>
        <w:t xml:space="preserve"> con </w:t>
      </w:r>
      <w:r w:rsidR="00495EB0" w:rsidRPr="00DE3883">
        <w:rPr>
          <w:rFonts w:ascii="Verdana" w:hAnsi="Verdana" w:cs="Arial"/>
          <w:color w:val="222222"/>
          <w:sz w:val="18"/>
          <w:szCs w:val="18"/>
        </w:rPr>
        <w:t>ΔT10K tra la temp. ambiente e la temp. media dell’acqua</w:t>
      </w:r>
      <w:r w:rsidR="00931E2A">
        <w:rPr>
          <w:rFonts w:ascii="Verdana" w:hAnsi="Verdana" w:cs="Arial"/>
          <w:color w:val="222222"/>
          <w:sz w:val="18"/>
          <w:szCs w:val="18"/>
        </w:rPr>
        <w:t>.</w:t>
      </w:r>
    </w:p>
    <w:p w14:paraId="7ADDAAFD" w14:textId="54891CC1" w:rsidR="00495EB0" w:rsidRPr="00DE3883" w:rsidRDefault="00495EB0" w:rsidP="00601ABF">
      <w:pPr>
        <w:spacing w:line="360" w:lineRule="auto"/>
        <w:ind w:right="22"/>
        <w:jc w:val="both"/>
        <w:rPr>
          <w:rFonts w:ascii="Verdana" w:hAnsi="Verdana" w:cs="Arial"/>
          <w:color w:val="222222"/>
          <w:sz w:val="18"/>
          <w:szCs w:val="18"/>
        </w:rPr>
      </w:pPr>
      <w:r w:rsidRPr="00DE3883">
        <w:rPr>
          <w:rFonts w:ascii="Verdana" w:hAnsi="Verdana" w:cs="Arial"/>
          <w:color w:val="222222"/>
          <w:sz w:val="18"/>
          <w:szCs w:val="18"/>
        </w:rPr>
        <w:t>Rese in raffrescamento</w:t>
      </w:r>
      <w:r w:rsidRPr="00DE3883">
        <w:rPr>
          <w:rFonts w:ascii="Verdana" w:hAnsi="Verdana" w:cs="Arial"/>
          <w:b/>
          <w:color w:val="222222"/>
          <w:sz w:val="18"/>
          <w:szCs w:val="18"/>
        </w:rPr>
        <w:t xml:space="preserve"> 90 W/m²</w:t>
      </w:r>
      <w:r w:rsidR="00931E2A">
        <w:rPr>
          <w:rFonts w:ascii="Verdana" w:hAnsi="Verdana" w:cs="Arial"/>
          <w:color w:val="222222"/>
          <w:sz w:val="18"/>
          <w:szCs w:val="18"/>
        </w:rPr>
        <w:t xml:space="preserve"> con </w:t>
      </w:r>
      <w:r w:rsidRPr="00DE3883">
        <w:rPr>
          <w:rFonts w:ascii="Verdana" w:hAnsi="Verdana" w:cs="Arial"/>
          <w:color w:val="222222"/>
          <w:sz w:val="18"/>
          <w:szCs w:val="18"/>
        </w:rPr>
        <w:t>ΔT12K tra la temp. ambiente e la temp. media dell’acqua</w:t>
      </w:r>
      <w:r w:rsidR="00931E2A">
        <w:rPr>
          <w:rFonts w:ascii="Verdana" w:hAnsi="Verdana" w:cs="Arial"/>
          <w:color w:val="222222"/>
          <w:sz w:val="18"/>
          <w:szCs w:val="18"/>
        </w:rPr>
        <w:t>.</w:t>
      </w:r>
    </w:p>
    <w:p w14:paraId="3285FA21" w14:textId="2D278198" w:rsidR="00DD7B7A" w:rsidRPr="00DE3883" w:rsidRDefault="00DD7B7A" w:rsidP="00601ABF">
      <w:pPr>
        <w:spacing w:line="360" w:lineRule="auto"/>
        <w:ind w:right="22"/>
        <w:jc w:val="both"/>
        <w:rPr>
          <w:rFonts w:ascii="Verdana" w:hAnsi="Verdana" w:cs="Arial"/>
          <w:color w:val="222222"/>
          <w:sz w:val="18"/>
          <w:szCs w:val="18"/>
        </w:rPr>
      </w:pPr>
      <w:r w:rsidRPr="00DE3883">
        <w:rPr>
          <w:rFonts w:ascii="Verdana" w:hAnsi="Verdana" w:cs="Arial"/>
          <w:color w:val="222222"/>
          <w:sz w:val="18"/>
          <w:szCs w:val="18"/>
        </w:rPr>
        <w:t>Le rese in raffrescamento sono state ottenute secondo la norma EN 14240 in laboratorio di prova abilitato. Le prove sono state eseguite in condizioni statiche (camera climatica).</w:t>
      </w:r>
    </w:p>
    <w:p w14:paraId="70A5EF0D" w14:textId="291A38E2" w:rsidR="00495EB0" w:rsidRPr="00DE3883" w:rsidRDefault="00706684" w:rsidP="00601ABF">
      <w:pPr>
        <w:spacing w:line="360" w:lineRule="auto"/>
        <w:ind w:right="22"/>
        <w:jc w:val="both"/>
        <w:rPr>
          <w:rFonts w:ascii="Verdana" w:hAnsi="Verdana" w:cs="Arial"/>
          <w:color w:val="222222"/>
          <w:sz w:val="18"/>
          <w:szCs w:val="18"/>
        </w:rPr>
      </w:pPr>
      <w:r w:rsidRPr="00DE3883">
        <w:rPr>
          <w:rFonts w:ascii="Verdana" w:hAnsi="Verdana" w:cs="Arial"/>
          <w:color w:val="222222"/>
          <w:sz w:val="18"/>
          <w:szCs w:val="18"/>
        </w:rPr>
        <w:t>R</w:t>
      </w:r>
      <w:r w:rsidR="0023764F" w:rsidRPr="00DE3883">
        <w:rPr>
          <w:rFonts w:ascii="Verdana" w:hAnsi="Verdana" w:cs="Arial"/>
          <w:color w:val="222222"/>
          <w:sz w:val="18"/>
          <w:szCs w:val="18"/>
        </w:rPr>
        <w:t>ese in riscaldamento</w:t>
      </w:r>
      <w:r w:rsidR="00495EB0" w:rsidRPr="00DE3883">
        <w:rPr>
          <w:rFonts w:ascii="Verdana" w:hAnsi="Verdana" w:cs="Arial"/>
          <w:color w:val="222222"/>
          <w:sz w:val="18"/>
          <w:szCs w:val="18"/>
        </w:rPr>
        <w:t xml:space="preserve"> </w:t>
      </w:r>
      <w:r w:rsidR="00495EB0" w:rsidRPr="00DE3883">
        <w:rPr>
          <w:rFonts w:ascii="Verdana" w:hAnsi="Verdana" w:cs="Arial"/>
          <w:b/>
          <w:color w:val="222222"/>
          <w:sz w:val="18"/>
          <w:szCs w:val="18"/>
        </w:rPr>
        <w:t>96 W/m²</w:t>
      </w:r>
      <w:r w:rsidR="00931E2A">
        <w:rPr>
          <w:rFonts w:ascii="Verdana" w:hAnsi="Verdana" w:cs="Arial"/>
          <w:b/>
          <w:color w:val="222222"/>
          <w:sz w:val="18"/>
          <w:szCs w:val="18"/>
        </w:rPr>
        <w:t xml:space="preserve"> </w:t>
      </w:r>
      <w:r w:rsidR="00931E2A" w:rsidRPr="00DE3883">
        <w:rPr>
          <w:rFonts w:ascii="Verdana" w:hAnsi="Verdana" w:cs="Arial"/>
          <w:bCs/>
          <w:color w:val="222222"/>
          <w:sz w:val="18"/>
          <w:szCs w:val="18"/>
        </w:rPr>
        <w:t>con</w:t>
      </w:r>
      <w:r w:rsidR="00931E2A">
        <w:rPr>
          <w:rFonts w:ascii="Verdana" w:hAnsi="Verdana" w:cs="Arial"/>
          <w:b/>
          <w:color w:val="222222"/>
          <w:sz w:val="18"/>
          <w:szCs w:val="18"/>
        </w:rPr>
        <w:t xml:space="preserve"> </w:t>
      </w:r>
      <w:r w:rsidR="00495EB0" w:rsidRPr="00DE3883">
        <w:rPr>
          <w:rFonts w:ascii="Verdana" w:hAnsi="Verdana" w:cs="Arial"/>
          <w:color w:val="222222"/>
          <w:sz w:val="18"/>
          <w:szCs w:val="18"/>
        </w:rPr>
        <w:t>ΔT15K tra la temp. ambiente e la temp. media dell’acqua</w:t>
      </w:r>
    </w:p>
    <w:p w14:paraId="105E2BA3" w14:textId="77777777" w:rsidR="00DD7B7A" w:rsidRPr="00DE3883" w:rsidRDefault="00DD7B7A" w:rsidP="00601ABF">
      <w:pPr>
        <w:spacing w:line="360" w:lineRule="auto"/>
        <w:ind w:right="22"/>
        <w:jc w:val="both"/>
        <w:rPr>
          <w:rFonts w:ascii="Verdana" w:hAnsi="Verdana" w:cs="Arial"/>
          <w:color w:val="222222"/>
          <w:sz w:val="18"/>
          <w:szCs w:val="18"/>
        </w:rPr>
      </w:pPr>
      <w:r w:rsidRPr="00DE3883">
        <w:rPr>
          <w:rFonts w:ascii="Verdana" w:hAnsi="Verdana" w:cs="Arial"/>
          <w:color w:val="222222"/>
          <w:sz w:val="18"/>
          <w:szCs w:val="18"/>
        </w:rPr>
        <w:t>Le rese in riscaldamento sono state ottenute secondo la norma EN 14037 in laboratorio di prova abilitato. Le prove sono state eseguite in condizioni statiche (camera climatica).</w:t>
      </w:r>
    </w:p>
    <w:p w14:paraId="6A60F482" w14:textId="7D671F98" w:rsidR="00775196" w:rsidRPr="00DE3883" w:rsidRDefault="00DD7B7A" w:rsidP="00DE3883">
      <w:pPr>
        <w:spacing w:line="360" w:lineRule="auto"/>
        <w:ind w:right="22"/>
        <w:jc w:val="both"/>
        <w:rPr>
          <w:rFonts w:ascii="Verdana" w:hAnsi="Verdana" w:cs="Arial"/>
          <w:color w:val="222222"/>
          <w:sz w:val="18"/>
          <w:szCs w:val="18"/>
        </w:rPr>
      </w:pPr>
      <w:r w:rsidRPr="00DE3883">
        <w:rPr>
          <w:rFonts w:ascii="Verdana" w:hAnsi="Verdana" w:cs="Arial"/>
          <w:color w:val="222222"/>
          <w:sz w:val="18"/>
          <w:szCs w:val="18"/>
        </w:rPr>
        <w:t>L’effettiva potenza del soffitto radiante dipende dal numero di pannelli attivi (percentuale di copertura) e le temperature di mandata/ritorno.</w:t>
      </w:r>
    </w:p>
    <w:p w14:paraId="24911936" w14:textId="3B120BEA" w:rsidR="0082704C" w:rsidRPr="00DE3883" w:rsidRDefault="0082704C" w:rsidP="00601ABF">
      <w:pPr>
        <w:spacing w:line="360" w:lineRule="auto"/>
        <w:ind w:right="22"/>
        <w:jc w:val="both"/>
        <w:rPr>
          <w:rFonts w:ascii="Verdana" w:hAnsi="Verdana"/>
          <w:sz w:val="18"/>
          <w:szCs w:val="18"/>
        </w:rPr>
      </w:pPr>
      <w:r w:rsidRPr="00DE3883">
        <w:rPr>
          <w:rFonts w:ascii="Verdana" w:hAnsi="Verdana" w:cs="Arial"/>
          <w:color w:val="222222"/>
          <w:sz w:val="18"/>
          <w:szCs w:val="18"/>
        </w:rPr>
        <w:t xml:space="preserve">Per migliorare l'assorbimento acustico, un pannello isolante in lana </w:t>
      </w:r>
      <w:r w:rsidR="00271C5A" w:rsidRPr="00DE3883">
        <w:rPr>
          <w:rFonts w:ascii="Verdana" w:hAnsi="Verdana" w:cs="Arial"/>
          <w:color w:val="222222"/>
          <w:sz w:val="18"/>
          <w:szCs w:val="18"/>
        </w:rPr>
        <w:t xml:space="preserve">minerale </w:t>
      </w:r>
      <w:r w:rsidRPr="00DE3883">
        <w:rPr>
          <w:rFonts w:ascii="Verdana" w:hAnsi="Verdana" w:cs="Arial"/>
          <w:color w:val="222222"/>
          <w:sz w:val="18"/>
          <w:szCs w:val="18"/>
        </w:rPr>
        <w:t>sigillata, (imbustata in un foglio in PE), spessore 25 mm, è installato sopra il soffitto.</w:t>
      </w:r>
      <w:r w:rsidRPr="00DE3883">
        <w:rPr>
          <w:rFonts w:ascii="Verdana" w:hAnsi="Verdana"/>
          <w:sz w:val="18"/>
          <w:szCs w:val="18"/>
        </w:rPr>
        <w:t xml:space="preserve"> </w:t>
      </w:r>
    </w:p>
    <w:p w14:paraId="3261A5A0" w14:textId="4C6C6015" w:rsidR="00706684" w:rsidRPr="00DE3883" w:rsidRDefault="00A029E9" w:rsidP="00601ABF">
      <w:pPr>
        <w:spacing w:line="360" w:lineRule="auto"/>
        <w:ind w:right="22"/>
        <w:jc w:val="both"/>
        <w:rPr>
          <w:rFonts w:ascii="Verdana" w:hAnsi="Verdana" w:cs="Arial"/>
          <w:color w:val="222222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>L’indice di assorbimento acustico del sistema</w:t>
      </w:r>
      <w:r w:rsidR="0082704C" w:rsidRPr="00DE3883">
        <w:rPr>
          <w:rFonts w:ascii="Verdana" w:hAnsi="Verdana" w:cs="Arial"/>
          <w:sz w:val="18"/>
          <w:szCs w:val="18"/>
        </w:rPr>
        <w:t xml:space="preserve"> Easy-Klima</w:t>
      </w:r>
      <w:r w:rsidR="0082704C" w:rsidRPr="00DE3883">
        <w:rPr>
          <w:rFonts w:ascii="Verdana" w:hAnsi="Verdana" w:cs="Arial"/>
          <w:sz w:val="18"/>
          <w:szCs w:val="18"/>
          <w:vertAlign w:val="superscript"/>
        </w:rPr>
        <w:t>®</w:t>
      </w:r>
      <w:r w:rsidR="0082704C" w:rsidRPr="00DE388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DE3883">
        <w:rPr>
          <w:rFonts w:ascii="Verdana" w:hAnsi="Verdana" w:cs="Arial"/>
          <w:sz w:val="18"/>
          <w:szCs w:val="18"/>
        </w:rPr>
        <w:t>a</w:t>
      </w:r>
      <w:r w:rsidR="00DE0F8F" w:rsidRPr="00DE3883">
        <w:rPr>
          <w:rFonts w:ascii="Verdana" w:hAnsi="Verdana" w:cs="Arial"/>
          <w:sz w:val="18"/>
          <w:szCs w:val="18"/>
          <w:vertAlign w:val="subscript"/>
        </w:rPr>
        <w:t>W</w:t>
      </w:r>
      <w:proofErr w:type="spellEnd"/>
      <w:r w:rsidRPr="00DE3883">
        <w:rPr>
          <w:rFonts w:ascii="Verdana" w:hAnsi="Verdana" w:cs="Arial"/>
          <w:sz w:val="18"/>
          <w:szCs w:val="18"/>
        </w:rPr>
        <w:t xml:space="preserve"> 0,</w:t>
      </w:r>
      <w:r w:rsidR="00271C5A" w:rsidRPr="00DE3883">
        <w:rPr>
          <w:rFonts w:ascii="Verdana" w:hAnsi="Verdana" w:cs="Arial"/>
          <w:sz w:val="18"/>
          <w:szCs w:val="18"/>
        </w:rPr>
        <w:t>90</w:t>
      </w:r>
      <w:r w:rsidRPr="00DE3883">
        <w:rPr>
          <w:rFonts w:ascii="Verdana" w:hAnsi="Verdana" w:cs="Arial"/>
          <w:sz w:val="18"/>
          <w:szCs w:val="18"/>
        </w:rPr>
        <w:t>.</w:t>
      </w:r>
    </w:p>
    <w:p w14:paraId="1F5971FF" w14:textId="52E5665C" w:rsidR="007C3F5E" w:rsidRPr="00DE3883" w:rsidRDefault="00622540" w:rsidP="00601ABF">
      <w:pPr>
        <w:spacing w:line="360" w:lineRule="auto"/>
        <w:ind w:right="22"/>
        <w:jc w:val="both"/>
        <w:rPr>
          <w:rFonts w:ascii="Verdana" w:hAnsi="Verdana" w:cs="Arial"/>
          <w:color w:val="222222"/>
          <w:sz w:val="18"/>
          <w:szCs w:val="18"/>
        </w:rPr>
      </w:pPr>
      <w:r w:rsidRPr="00DE3883">
        <w:rPr>
          <w:rFonts w:ascii="Verdana" w:hAnsi="Verdana" w:cs="Arial"/>
          <w:color w:val="222222"/>
          <w:sz w:val="18"/>
          <w:szCs w:val="18"/>
        </w:rPr>
        <w:t>Tutte le aree di passaggio saranno fornite di un soffitto metallico</w:t>
      </w:r>
      <w:r w:rsidR="0082704C" w:rsidRPr="00DE3883">
        <w:rPr>
          <w:rFonts w:ascii="Verdana" w:hAnsi="Verdana" w:cs="Arial"/>
          <w:color w:val="222222"/>
          <w:sz w:val="18"/>
          <w:szCs w:val="18"/>
        </w:rPr>
        <w:t xml:space="preserve"> con proprietà acustiche,</w:t>
      </w:r>
      <w:r w:rsidRPr="00DE3883">
        <w:rPr>
          <w:rFonts w:ascii="Verdana" w:hAnsi="Verdana" w:cs="Arial"/>
          <w:color w:val="222222"/>
          <w:sz w:val="18"/>
          <w:szCs w:val="18"/>
        </w:rPr>
        <w:t xml:space="preserve"> ins</w:t>
      </w:r>
      <w:r w:rsidR="0082704C" w:rsidRPr="00DE3883">
        <w:rPr>
          <w:rFonts w:ascii="Verdana" w:hAnsi="Verdana" w:cs="Arial"/>
          <w:color w:val="222222"/>
          <w:sz w:val="18"/>
          <w:szCs w:val="18"/>
        </w:rPr>
        <w:t>tallato</w:t>
      </w:r>
      <w:r w:rsidRPr="00DE3883">
        <w:rPr>
          <w:rFonts w:ascii="Verdana" w:hAnsi="Verdana" w:cs="Arial"/>
          <w:color w:val="222222"/>
          <w:sz w:val="18"/>
          <w:szCs w:val="18"/>
        </w:rPr>
        <w:t xml:space="preserve"> nei corridoi tra gli uffici. </w:t>
      </w:r>
      <w:r w:rsidR="0082704C" w:rsidRPr="00DE3883">
        <w:rPr>
          <w:rFonts w:ascii="Verdana" w:hAnsi="Verdana" w:cs="Arial"/>
          <w:color w:val="222222"/>
          <w:sz w:val="18"/>
          <w:szCs w:val="18"/>
        </w:rPr>
        <w:t xml:space="preserve"> Tale soffitto sarà costituito da pannelli in acciaio, con fori </w:t>
      </w:r>
      <w:r w:rsidR="000D56C8" w:rsidRPr="00DE3883">
        <w:rPr>
          <w:rFonts w:ascii="Verdana" w:hAnsi="Verdana" w:cs="Arial"/>
          <w:color w:val="222222"/>
          <w:sz w:val="18"/>
          <w:szCs w:val="18"/>
        </w:rPr>
        <w:t>da Ø</w:t>
      </w:r>
      <w:r w:rsidR="0082704C" w:rsidRPr="00DE3883">
        <w:rPr>
          <w:rFonts w:ascii="Verdana" w:hAnsi="Verdana" w:cs="Arial"/>
          <w:color w:val="222222"/>
          <w:sz w:val="18"/>
          <w:szCs w:val="18"/>
        </w:rPr>
        <w:t xml:space="preserve"> 2 </w:t>
      </w:r>
      <w:proofErr w:type="gramStart"/>
      <w:r w:rsidR="0082704C" w:rsidRPr="00DE3883">
        <w:rPr>
          <w:rFonts w:ascii="Verdana" w:hAnsi="Verdana" w:cs="Arial"/>
          <w:color w:val="222222"/>
          <w:sz w:val="18"/>
          <w:szCs w:val="18"/>
        </w:rPr>
        <w:t>mm  e</w:t>
      </w:r>
      <w:proofErr w:type="gramEnd"/>
      <w:r w:rsidR="0082704C" w:rsidRPr="00DE3883">
        <w:rPr>
          <w:rFonts w:ascii="Verdana" w:hAnsi="Verdana" w:cs="Arial"/>
          <w:color w:val="222222"/>
          <w:sz w:val="18"/>
          <w:szCs w:val="18"/>
        </w:rPr>
        <w:t xml:space="preserve"> perc</w:t>
      </w:r>
      <w:r w:rsidR="00A029E9" w:rsidRPr="00DE3883">
        <w:rPr>
          <w:rFonts w:ascii="Verdana" w:hAnsi="Verdana" w:cs="Arial"/>
          <w:color w:val="222222"/>
          <w:sz w:val="18"/>
          <w:szCs w:val="18"/>
        </w:rPr>
        <w:t>entuale di foratura  pari a</w:t>
      </w:r>
      <w:r w:rsidR="0082704C" w:rsidRPr="00DE3883">
        <w:rPr>
          <w:rFonts w:ascii="Verdana" w:hAnsi="Verdana" w:cs="Arial"/>
          <w:color w:val="222222"/>
          <w:sz w:val="18"/>
          <w:szCs w:val="18"/>
        </w:rPr>
        <w:t xml:space="preserve"> </w:t>
      </w:r>
      <w:r w:rsidR="00495EB0" w:rsidRPr="00DE3883">
        <w:rPr>
          <w:rFonts w:ascii="Verdana" w:hAnsi="Verdana" w:cs="Arial"/>
          <w:color w:val="222222"/>
          <w:sz w:val="18"/>
          <w:szCs w:val="18"/>
        </w:rPr>
        <w:t xml:space="preserve">ca. </w:t>
      </w:r>
      <w:r w:rsidR="0082704C" w:rsidRPr="00DE3883">
        <w:rPr>
          <w:rFonts w:ascii="Verdana" w:hAnsi="Verdana" w:cs="Arial"/>
          <w:color w:val="222222"/>
          <w:sz w:val="18"/>
          <w:szCs w:val="18"/>
        </w:rPr>
        <w:t>18%</w:t>
      </w:r>
      <w:r w:rsidR="00D6665D" w:rsidRPr="00DE3883">
        <w:rPr>
          <w:rFonts w:ascii="Verdana" w:hAnsi="Verdana" w:cs="Arial"/>
          <w:color w:val="222222"/>
          <w:sz w:val="18"/>
          <w:szCs w:val="18"/>
        </w:rPr>
        <w:t>.</w:t>
      </w:r>
    </w:p>
    <w:p w14:paraId="5018ED1F" w14:textId="642A540B" w:rsidR="00FD7957" w:rsidRPr="00DE3883" w:rsidRDefault="00FD7957" w:rsidP="00601ABF">
      <w:pPr>
        <w:spacing w:line="360" w:lineRule="auto"/>
        <w:ind w:right="-1"/>
        <w:jc w:val="both"/>
        <w:rPr>
          <w:rFonts w:ascii="Verdana" w:hAnsi="Verdana" w:cs="Arial"/>
          <w:color w:val="222222"/>
          <w:sz w:val="18"/>
          <w:szCs w:val="18"/>
        </w:rPr>
      </w:pPr>
      <w:r w:rsidRPr="00DE3883">
        <w:rPr>
          <w:rFonts w:ascii="Verdana" w:hAnsi="Verdana" w:cs="Arial"/>
          <w:color w:val="222222"/>
          <w:sz w:val="18"/>
          <w:szCs w:val="18"/>
        </w:rPr>
        <w:t>I colori standard sono RAL 9010 (bianco); RAL 9016 (bianco); RAL 9006 (grigio).</w:t>
      </w:r>
    </w:p>
    <w:p w14:paraId="09B367FB" w14:textId="06E27DDB" w:rsidR="00775196" w:rsidRPr="00DE3883" w:rsidRDefault="00775196" w:rsidP="00601ABF">
      <w:pPr>
        <w:spacing w:line="360" w:lineRule="auto"/>
        <w:ind w:right="-1"/>
        <w:jc w:val="both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>In quanto fornitori e installatori del sistema a soffitto</w:t>
      </w:r>
      <w:r w:rsidR="007C3F5E" w:rsidRPr="00DE3883">
        <w:rPr>
          <w:rFonts w:ascii="Verdana" w:hAnsi="Verdana"/>
          <w:sz w:val="18"/>
          <w:szCs w:val="18"/>
        </w:rPr>
        <w:t>,</w:t>
      </w:r>
      <w:r w:rsidRPr="00DE3883">
        <w:rPr>
          <w:rFonts w:ascii="Verdana" w:hAnsi="Verdana"/>
          <w:sz w:val="18"/>
          <w:szCs w:val="18"/>
        </w:rPr>
        <w:t xml:space="preserve"> Eurotherm S</w:t>
      </w:r>
      <w:r w:rsidR="00495EB0" w:rsidRPr="00DE3883">
        <w:rPr>
          <w:rFonts w:ascii="Verdana" w:hAnsi="Verdana"/>
          <w:sz w:val="18"/>
          <w:szCs w:val="18"/>
        </w:rPr>
        <w:t>.</w:t>
      </w:r>
      <w:r w:rsidRPr="00DE3883">
        <w:rPr>
          <w:rFonts w:ascii="Verdana" w:hAnsi="Verdana"/>
          <w:sz w:val="18"/>
          <w:szCs w:val="18"/>
        </w:rPr>
        <w:t>p</w:t>
      </w:r>
      <w:r w:rsidR="00495EB0" w:rsidRPr="00DE3883">
        <w:rPr>
          <w:rFonts w:ascii="Verdana" w:hAnsi="Verdana"/>
          <w:sz w:val="18"/>
          <w:szCs w:val="18"/>
        </w:rPr>
        <w:t>.</w:t>
      </w:r>
      <w:r w:rsidRPr="00DE3883">
        <w:rPr>
          <w:rFonts w:ascii="Verdana" w:hAnsi="Verdana"/>
          <w:sz w:val="18"/>
          <w:szCs w:val="18"/>
        </w:rPr>
        <w:t>A</w:t>
      </w:r>
      <w:r w:rsidR="00495EB0" w:rsidRPr="00DE3883">
        <w:rPr>
          <w:rFonts w:ascii="Verdana" w:hAnsi="Verdana"/>
          <w:sz w:val="18"/>
          <w:szCs w:val="18"/>
        </w:rPr>
        <w:t>.</w:t>
      </w:r>
      <w:r w:rsidRPr="00DE3883">
        <w:rPr>
          <w:rFonts w:ascii="Verdana" w:hAnsi="Verdana"/>
          <w:sz w:val="18"/>
          <w:szCs w:val="18"/>
        </w:rPr>
        <w:t xml:space="preserve"> fornisce le seguenti garanzie:</w:t>
      </w:r>
    </w:p>
    <w:p w14:paraId="42A8C9BF" w14:textId="66DD90B2" w:rsidR="00775196" w:rsidRPr="00DE3883" w:rsidRDefault="00775196" w:rsidP="00601ABF">
      <w:pPr>
        <w:overflowPunct/>
        <w:autoSpaceDE/>
        <w:autoSpaceDN/>
        <w:adjustRightInd/>
        <w:spacing w:line="360" w:lineRule="auto"/>
        <w:ind w:right="-1"/>
        <w:jc w:val="both"/>
        <w:textAlignment w:val="auto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 xml:space="preserve">Garanzia </w:t>
      </w:r>
      <w:r w:rsidR="007C3F5E" w:rsidRPr="00DE3883">
        <w:rPr>
          <w:rFonts w:ascii="Verdana" w:hAnsi="Verdana"/>
          <w:sz w:val="18"/>
          <w:szCs w:val="18"/>
        </w:rPr>
        <w:t>certificazione sull’assorbimento acustico.</w:t>
      </w:r>
    </w:p>
    <w:p w14:paraId="5004E7AA" w14:textId="5D04D90D" w:rsidR="007C3F5E" w:rsidRPr="00DE3883" w:rsidRDefault="007C3F5E" w:rsidP="00601ABF">
      <w:pPr>
        <w:overflowPunct/>
        <w:autoSpaceDE/>
        <w:autoSpaceDN/>
        <w:adjustRightInd/>
        <w:spacing w:line="360" w:lineRule="auto"/>
        <w:ind w:right="-1"/>
        <w:jc w:val="both"/>
        <w:textAlignment w:val="auto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>Garanzia di prestazioni del soffitto secondo certificazioni.</w:t>
      </w:r>
    </w:p>
    <w:p w14:paraId="7A6AD405" w14:textId="0D91EF90" w:rsidR="00775196" w:rsidRPr="00DE3883" w:rsidRDefault="00775196" w:rsidP="00601ABF">
      <w:pPr>
        <w:overflowPunct/>
        <w:autoSpaceDE/>
        <w:autoSpaceDN/>
        <w:adjustRightInd/>
        <w:spacing w:line="360" w:lineRule="auto"/>
        <w:ind w:right="-1"/>
        <w:jc w:val="both"/>
        <w:textAlignment w:val="auto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>Garanzia di tenuta all’acqua: data l’assenza di connessioni nella zona uffici e data l’alta</w:t>
      </w:r>
      <w:r w:rsidR="007C3F5E" w:rsidRPr="00DE3883">
        <w:rPr>
          <w:rFonts w:ascii="Verdana" w:hAnsi="Verdana"/>
          <w:sz w:val="18"/>
          <w:szCs w:val="18"/>
        </w:rPr>
        <w:t xml:space="preserve"> qualità della tubazione </w:t>
      </w:r>
      <w:proofErr w:type="spellStart"/>
      <w:r w:rsidR="007C3F5E" w:rsidRPr="00DE3883">
        <w:rPr>
          <w:rFonts w:ascii="Verdana" w:hAnsi="Verdana"/>
          <w:sz w:val="18"/>
          <w:szCs w:val="18"/>
        </w:rPr>
        <w:t>MidiX</w:t>
      </w:r>
      <w:proofErr w:type="spellEnd"/>
      <w:r w:rsidR="007C3F5E" w:rsidRPr="00DE3883">
        <w:rPr>
          <w:rFonts w:ascii="Verdana" w:hAnsi="Verdana"/>
          <w:sz w:val="18"/>
          <w:szCs w:val="18"/>
        </w:rPr>
        <w:t>-</w:t>
      </w:r>
      <w:r w:rsidRPr="00DE3883">
        <w:rPr>
          <w:rFonts w:ascii="Verdana" w:hAnsi="Verdana"/>
          <w:sz w:val="18"/>
          <w:szCs w:val="18"/>
        </w:rPr>
        <w:t>Plus, Eurotherm garantisce la totale tenuta all’acqua del soffitto. La tenuta all’acqua delle line</w:t>
      </w:r>
      <w:r w:rsidR="007C3F5E" w:rsidRPr="00DE3883">
        <w:rPr>
          <w:rFonts w:ascii="Verdana" w:hAnsi="Verdana"/>
          <w:sz w:val="18"/>
          <w:szCs w:val="18"/>
        </w:rPr>
        <w:t>e</w:t>
      </w:r>
      <w:r w:rsidRPr="00DE3883">
        <w:rPr>
          <w:rFonts w:ascii="Verdana" w:hAnsi="Verdana"/>
          <w:sz w:val="18"/>
          <w:szCs w:val="18"/>
        </w:rPr>
        <w:t xml:space="preserve"> di alimentazione deve essere </w:t>
      </w:r>
      <w:r w:rsidR="005F2453" w:rsidRPr="00DE3883">
        <w:rPr>
          <w:rFonts w:ascii="Verdana" w:hAnsi="Verdana"/>
          <w:sz w:val="18"/>
          <w:szCs w:val="18"/>
        </w:rPr>
        <w:t>garantita dalla ditta idraulica (HVAC)</w:t>
      </w:r>
      <w:r w:rsidR="007C3F5E" w:rsidRPr="00DE3883">
        <w:rPr>
          <w:rFonts w:ascii="Verdana" w:hAnsi="Verdana"/>
          <w:sz w:val="18"/>
          <w:szCs w:val="18"/>
        </w:rPr>
        <w:t>.</w:t>
      </w:r>
    </w:p>
    <w:p w14:paraId="6F54AC0A" w14:textId="63A58AF4" w:rsidR="00775196" w:rsidRPr="00DE3883" w:rsidRDefault="007C3F5E" w:rsidP="00601ABF">
      <w:pPr>
        <w:overflowPunct/>
        <w:autoSpaceDE/>
        <w:autoSpaceDN/>
        <w:adjustRightInd/>
        <w:spacing w:line="360" w:lineRule="auto"/>
        <w:ind w:right="-1"/>
        <w:jc w:val="both"/>
        <w:textAlignment w:val="auto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>Garanzia sulla barriera</w:t>
      </w:r>
      <w:r w:rsidR="00775196" w:rsidRPr="00DE3883">
        <w:rPr>
          <w:rFonts w:ascii="Verdana" w:hAnsi="Verdana"/>
          <w:sz w:val="18"/>
          <w:szCs w:val="18"/>
        </w:rPr>
        <w:t xml:space="preserve"> ossigeno della tubazione </w:t>
      </w:r>
      <w:proofErr w:type="spellStart"/>
      <w:r w:rsidR="00775196" w:rsidRPr="00DE3883">
        <w:rPr>
          <w:rFonts w:ascii="Verdana" w:hAnsi="Verdana"/>
          <w:sz w:val="18"/>
          <w:szCs w:val="18"/>
        </w:rPr>
        <w:t>MidiX</w:t>
      </w:r>
      <w:proofErr w:type="spellEnd"/>
      <w:r w:rsidR="00775196" w:rsidRPr="00DE3883">
        <w:rPr>
          <w:rFonts w:ascii="Verdana" w:hAnsi="Verdana"/>
          <w:sz w:val="18"/>
          <w:szCs w:val="18"/>
        </w:rPr>
        <w:t>-Plus</w:t>
      </w:r>
      <w:r w:rsidR="00DE0DBB" w:rsidRPr="00DE3883">
        <w:rPr>
          <w:rFonts w:ascii="Verdana" w:hAnsi="Verdana"/>
          <w:sz w:val="18"/>
          <w:szCs w:val="18"/>
        </w:rPr>
        <w:t>.</w:t>
      </w:r>
    </w:p>
    <w:p w14:paraId="1E58EEF3" w14:textId="6D4A7067" w:rsidR="00775196" w:rsidRPr="00DE3883" w:rsidRDefault="00775196" w:rsidP="00601ABF">
      <w:pPr>
        <w:overflowPunct/>
        <w:autoSpaceDE/>
        <w:autoSpaceDN/>
        <w:adjustRightInd/>
        <w:spacing w:line="360" w:lineRule="auto"/>
        <w:ind w:right="-1"/>
        <w:jc w:val="both"/>
        <w:textAlignment w:val="auto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 xml:space="preserve">Garanzia delle caratteristiche meccaniche della tubazione </w:t>
      </w:r>
      <w:proofErr w:type="spellStart"/>
      <w:r w:rsidRPr="00DE3883">
        <w:rPr>
          <w:rFonts w:ascii="Verdana" w:hAnsi="Verdana"/>
          <w:sz w:val="18"/>
          <w:szCs w:val="18"/>
        </w:rPr>
        <w:t>MidiX</w:t>
      </w:r>
      <w:proofErr w:type="spellEnd"/>
      <w:r w:rsidRPr="00DE3883">
        <w:rPr>
          <w:rFonts w:ascii="Verdana" w:hAnsi="Verdana"/>
          <w:sz w:val="18"/>
          <w:szCs w:val="18"/>
        </w:rPr>
        <w:t>-Plus</w:t>
      </w:r>
      <w:r w:rsidR="00DE0DBB" w:rsidRPr="00DE3883">
        <w:rPr>
          <w:rFonts w:ascii="Verdana" w:hAnsi="Verdana"/>
          <w:sz w:val="18"/>
          <w:szCs w:val="18"/>
        </w:rPr>
        <w:t>.</w:t>
      </w:r>
    </w:p>
    <w:p w14:paraId="37F6E715" w14:textId="6666677D" w:rsidR="007C3F5E" w:rsidRPr="00DE3883" w:rsidRDefault="00775196" w:rsidP="00601ABF">
      <w:pPr>
        <w:overflowPunct/>
        <w:autoSpaceDE/>
        <w:autoSpaceDN/>
        <w:adjustRightInd/>
        <w:spacing w:line="360" w:lineRule="auto"/>
        <w:ind w:right="-1"/>
        <w:jc w:val="both"/>
        <w:textAlignment w:val="auto"/>
        <w:rPr>
          <w:rFonts w:ascii="Verdana" w:hAnsi="Verdana"/>
          <w:sz w:val="18"/>
          <w:szCs w:val="18"/>
        </w:rPr>
      </w:pPr>
      <w:r w:rsidRPr="00DE3883">
        <w:rPr>
          <w:rFonts w:ascii="Verdana" w:hAnsi="Verdana"/>
          <w:sz w:val="18"/>
          <w:szCs w:val="18"/>
        </w:rPr>
        <w:t xml:space="preserve">Garanzia </w:t>
      </w:r>
      <w:r w:rsidR="004D3C15" w:rsidRPr="00DE3883">
        <w:rPr>
          <w:rFonts w:ascii="Verdana" w:hAnsi="Verdana"/>
          <w:sz w:val="18"/>
          <w:szCs w:val="18"/>
        </w:rPr>
        <w:t>ITAS</w:t>
      </w:r>
      <w:r w:rsidRPr="00DE3883">
        <w:rPr>
          <w:rFonts w:ascii="Verdana" w:hAnsi="Verdana"/>
          <w:sz w:val="18"/>
          <w:szCs w:val="18"/>
        </w:rPr>
        <w:t xml:space="preserve"> a vita </w:t>
      </w:r>
      <w:r w:rsidR="00CD2D6B" w:rsidRPr="00DE3883">
        <w:rPr>
          <w:rFonts w:ascii="Verdana" w:hAnsi="Verdana"/>
          <w:sz w:val="18"/>
          <w:szCs w:val="18"/>
        </w:rPr>
        <w:t>per</w:t>
      </w:r>
      <w:r w:rsidRPr="00DE3883">
        <w:rPr>
          <w:rFonts w:ascii="Verdana" w:hAnsi="Verdana"/>
          <w:sz w:val="18"/>
          <w:szCs w:val="18"/>
        </w:rPr>
        <w:t xml:space="preserve"> danni derivati da difetto di prodotto</w:t>
      </w:r>
      <w:r w:rsidR="00DE0DBB" w:rsidRPr="00DE3883">
        <w:rPr>
          <w:rFonts w:ascii="Verdana" w:hAnsi="Verdana"/>
          <w:sz w:val="18"/>
          <w:szCs w:val="18"/>
        </w:rPr>
        <w:t>.</w:t>
      </w:r>
    </w:p>
    <w:sectPr w:rsidR="007C3F5E" w:rsidRPr="00DE3883" w:rsidSect="007B0667">
      <w:headerReference w:type="default" r:id="rId12"/>
      <w:footerReference w:type="default" r:id="rId13"/>
      <w:type w:val="continuous"/>
      <w:pgSz w:w="11907" w:h="16840"/>
      <w:pgMar w:top="1134" w:right="851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FDBA" w14:textId="77777777" w:rsidR="00B52BA0" w:rsidRDefault="00B52BA0">
      <w:r>
        <w:separator/>
      </w:r>
    </w:p>
  </w:endnote>
  <w:endnote w:type="continuationSeparator" w:id="0">
    <w:p w14:paraId="4208F08E" w14:textId="77777777" w:rsidR="00B52BA0" w:rsidRDefault="00B5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9A61" w14:textId="7E45AEA2" w:rsidR="00D96F4E" w:rsidRDefault="00D96F4E">
    <w:pPr>
      <w:pStyle w:val="Pidipagina"/>
      <w:rPr>
        <w:rFonts w:ascii="Arial" w:hAnsi="Arial" w:cs="Arial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DFB9" w14:textId="77777777" w:rsidR="00B52BA0" w:rsidRDefault="00B52BA0">
      <w:r>
        <w:separator/>
      </w:r>
    </w:p>
  </w:footnote>
  <w:footnote w:type="continuationSeparator" w:id="0">
    <w:p w14:paraId="0B8AE525" w14:textId="77777777" w:rsidR="00B52BA0" w:rsidRDefault="00B5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1EF8" w14:textId="2F582A5C" w:rsidR="00D96F4E" w:rsidRDefault="00D96F4E">
    <w:pPr>
      <w:tabs>
        <w:tab w:val="left" w:pos="284"/>
      </w:tabs>
      <w:spacing w:before="60" w:after="60"/>
      <w:rPr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D0F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37ED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BD344F8"/>
    <w:multiLevelType w:val="singleLevel"/>
    <w:tmpl w:val="228CA9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542CCF"/>
    <w:multiLevelType w:val="hybridMultilevel"/>
    <w:tmpl w:val="65CA8A28"/>
    <w:lvl w:ilvl="0" w:tplc="7FDA5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02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2D31D7"/>
    <w:multiLevelType w:val="multilevel"/>
    <w:tmpl w:val="64CA13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336C5B"/>
    <w:multiLevelType w:val="multilevel"/>
    <w:tmpl w:val="ED0A2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0881F51"/>
    <w:multiLevelType w:val="singleLevel"/>
    <w:tmpl w:val="228CA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E847E7C"/>
    <w:multiLevelType w:val="hybridMultilevel"/>
    <w:tmpl w:val="CF1CF416"/>
    <w:lvl w:ilvl="0" w:tplc="B83C559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FC5B93"/>
    <w:multiLevelType w:val="hybridMultilevel"/>
    <w:tmpl w:val="E230FEA2"/>
    <w:lvl w:ilvl="0" w:tplc="7FDA5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66D32"/>
    <w:multiLevelType w:val="hybridMultilevel"/>
    <w:tmpl w:val="DC9CD1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B4107"/>
    <w:multiLevelType w:val="hybridMultilevel"/>
    <w:tmpl w:val="0ED8E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13E00"/>
    <w:multiLevelType w:val="hybridMultilevel"/>
    <w:tmpl w:val="9BBE7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72CDF"/>
    <w:multiLevelType w:val="hybridMultilevel"/>
    <w:tmpl w:val="3856BC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271A0"/>
    <w:multiLevelType w:val="hybridMultilevel"/>
    <w:tmpl w:val="37A413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7C9B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8C351E"/>
    <w:multiLevelType w:val="hybridMultilevel"/>
    <w:tmpl w:val="514EA9CC"/>
    <w:lvl w:ilvl="0" w:tplc="70F85A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6274E"/>
    <w:multiLevelType w:val="hybridMultilevel"/>
    <w:tmpl w:val="12FCBB3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077B2A"/>
    <w:multiLevelType w:val="multilevel"/>
    <w:tmpl w:val="DC9CD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4E4D61"/>
    <w:multiLevelType w:val="hybridMultilevel"/>
    <w:tmpl w:val="125A5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9502">
    <w:abstractNumId w:val="10"/>
  </w:num>
  <w:num w:numId="2" w16cid:durableId="1038047368">
    <w:abstractNumId w:val="17"/>
  </w:num>
  <w:num w:numId="3" w16cid:durableId="805045559">
    <w:abstractNumId w:val="8"/>
  </w:num>
  <w:num w:numId="4" w16cid:durableId="177039755">
    <w:abstractNumId w:val="4"/>
    <w:lvlOverride w:ilvl="0">
      <w:startOverride w:val="1"/>
    </w:lvlOverride>
  </w:num>
  <w:num w:numId="5" w16cid:durableId="1106972373">
    <w:abstractNumId w:val="12"/>
  </w:num>
  <w:num w:numId="6" w16cid:durableId="210388281">
    <w:abstractNumId w:val="2"/>
  </w:num>
  <w:num w:numId="7" w16cid:durableId="680159675">
    <w:abstractNumId w:val="1"/>
  </w:num>
  <w:num w:numId="8" w16cid:durableId="1743866714">
    <w:abstractNumId w:val="6"/>
  </w:num>
  <w:num w:numId="9" w16cid:durableId="943922509">
    <w:abstractNumId w:val="14"/>
  </w:num>
  <w:num w:numId="10" w16cid:durableId="858587490">
    <w:abstractNumId w:val="5"/>
  </w:num>
  <w:num w:numId="11" w16cid:durableId="338973288">
    <w:abstractNumId w:val="9"/>
  </w:num>
  <w:num w:numId="12" w16cid:durableId="1611090247">
    <w:abstractNumId w:val="3"/>
  </w:num>
  <w:num w:numId="13" w16cid:durableId="1736052372">
    <w:abstractNumId w:val="7"/>
  </w:num>
  <w:num w:numId="14" w16cid:durableId="1412463079">
    <w:abstractNumId w:val="16"/>
  </w:num>
  <w:num w:numId="15" w16cid:durableId="1738896391">
    <w:abstractNumId w:val="13"/>
  </w:num>
  <w:num w:numId="16" w16cid:durableId="676887660">
    <w:abstractNumId w:val="11"/>
  </w:num>
  <w:num w:numId="17" w16cid:durableId="350496548">
    <w:abstractNumId w:val="0"/>
  </w:num>
  <w:num w:numId="18" w16cid:durableId="1095589990">
    <w:abstractNumId w:val="18"/>
  </w:num>
  <w:num w:numId="19" w16cid:durableId="20171468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77"/>
    <w:rsid w:val="00007415"/>
    <w:rsid w:val="00011BC2"/>
    <w:rsid w:val="00012C73"/>
    <w:rsid w:val="00017090"/>
    <w:rsid w:val="000222C2"/>
    <w:rsid w:val="00022FDA"/>
    <w:rsid w:val="000435AA"/>
    <w:rsid w:val="000465BB"/>
    <w:rsid w:val="000563C2"/>
    <w:rsid w:val="00074A3E"/>
    <w:rsid w:val="00075611"/>
    <w:rsid w:val="000759CE"/>
    <w:rsid w:val="0008367C"/>
    <w:rsid w:val="000964E9"/>
    <w:rsid w:val="000A2FBA"/>
    <w:rsid w:val="000B2AFA"/>
    <w:rsid w:val="000C484D"/>
    <w:rsid w:val="000D2ED6"/>
    <w:rsid w:val="000D56C8"/>
    <w:rsid w:val="000D602E"/>
    <w:rsid w:val="000E0A77"/>
    <w:rsid w:val="000E2389"/>
    <w:rsid w:val="001172C9"/>
    <w:rsid w:val="00137292"/>
    <w:rsid w:val="00137CB7"/>
    <w:rsid w:val="0014244D"/>
    <w:rsid w:val="00155239"/>
    <w:rsid w:val="001825F1"/>
    <w:rsid w:val="001853FD"/>
    <w:rsid w:val="001A43B0"/>
    <w:rsid w:val="001A4E7A"/>
    <w:rsid w:val="001A69B0"/>
    <w:rsid w:val="001B5986"/>
    <w:rsid w:val="001C2163"/>
    <w:rsid w:val="001D2D63"/>
    <w:rsid w:val="001D7AE4"/>
    <w:rsid w:val="001E5731"/>
    <w:rsid w:val="001F151F"/>
    <w:rsid w:val="001F406E"/>
    <w:rsid w:val="002034C5"/>
    <w:rsid w:val="0021003F"/>
    <w:rsid w:val="00223AD9"/>
    <w:rsid w:val="002241DA"/>
    <w:rsid w:val="00225226"/>
    <w:rsid w:val="00230655"/>
    <w:rsid w:val="002370A3"/>
    <w:rsid w:val="0023764F"/>
    <w:rsid w:val="002447B9"/>
    <w:rsid w:val="002639F7"/>
    <w:rsid w:val="00271C5A"/>
    <w:rsid w:val="0027302B"/>
    <w:rsid w:val="00273B68"/>
    <w:rsid w:val="00274127"/>
    <w:rsid w:val="00296449"/>
    <w:rsid w:val="002A488A"/>
    <w:rsid w:val="002B4C89"/>
    <w:rsid w:val="002B4E94"/>
    <w:rsid w:val="002C33C2"/>
    <w:rsid w:val="002C7A8C"/>
    <w:rsid w:val="002D0C4F"/>
    <w:rsid w:val="002F39A4"/>
    <w:rsid w:val="003161ED"/>
    <w:rsid w:val="00331644"/>
    <w:rsid w:val="003317BE"/>
    <w:rsid w:val="0033428D"/>
    <w:rsid w:val="00343EAE"/>
    <w:rsid w:val="00347192"/>
    <w:rsid w:val="00350B30"/>
    <w:rsid w:val="00355DA9"/>
    <w:rsid w:val="00364C8B"/>
    <w:rsid w:val="00366346"/>
    <w:rsid w:val="00374C46"/>
    <w:rsid w:val="00381B6E"/>
    <w:rsid w:val="00387FA4"/>
    <w:rsid w:val="00390357"/>
    <w:rsid w:val="00393590"/>
    <w:rsid w:val="00395DA3"/>
    <w:rsid w:val="0039713E"/>
    <w:rsid w:val="003B49C3"/>
    <w:rsid w:val="003C0F1E"/>
    <w:rsid w:val="003C2A5A"/>
    <w:rsid w:val="003D225F"/>
    <w:rsid w:val="003D510C"/>
    <w:rsid w:val="003E107A"/>
    <w:rsid w:val="003E2A06"/>
    <w:rsid w:val="00401DD6"/>
    <w:rsid w:val="00410CD8"/>
    <w:rsid w:val="004149EE"/>
    <w:rsid w:val="00422E0B"/>
    <w:rsid w:val="00424AB3"/>
    <w:rsid w:val="00425C8F"/>
    <w:rsid w:val="00430DA8"/>
    <w:rsid w:val="004310B6"/>
    <w:rsid w:val="00450DB4"/>
    <w:rsid w:val="00453906"/>
    <w:rsid w:val="00456E80"/>
    <w:rsid w:val="0045768A"/>
    <w:rsid w:val="004815D4"/>
    <w:rsid w:val="00482E9D"/>
    <w:rsid w:val="00485F70"/>
    <w:rsid w:val="00495EB0"/>
    <w:rsid w:val="004C3C20"/>
    <w:rsid w:val="004C552E"/>
    <w:rsid w:val="004D1730"/>
    <w:rsid w:val="004D3C15"/>
    <w:rsid w:val="004D45BD"/>
    <w:rsid w:val="004E0B01"/>
    <w:rsid w:val="004E3E7F"/>
    <w:rsid w:val="004F67C8"/>
    <w:rsid w:val="005141C7"/>
    <w:rsid w:val="005214E1"/>
    <w:rsid w:val="005329CD"/>
    <w:rsid w:val="0054159C"/>
    <w:rsid w:val="00542B2D"/>
    <w:rsid w:val="0054378C"/>
    <w:rsid w:val="00562883"/>
    <w:rsid w:val="00563FD3"/>
    <w:rsid w:val="00564B36"/>
    <w:rsid w:val="005737E6"/>
    <w:rsid w:val="0057674E"/>
    <w:rsid w:val="00577672"/>
    <w:rsid w:val="00581F48"/>
    <w:rsid w:val="00586C7C"/>
    <w:rsid w:val="00591E33"/>
    <w:rsid w:val="005A2372"/>
    <w:rsid w:val="005A239C"/>
    <w:rsid w:val="005B177A"/>
    <w:rsid w:val="005B35AB"/>
    <w:rsid w:val="005C0DA1"/>
    <w:rsid w:val="005D3586"/>
    <w:rsid w:val="005D3981"/>
    <w:rsid w:val="005F2453"/>
    <w:rsid w:val="005F3A6B"/>
    <w:rsid w:val="00601ABF"/>
    <w:rsid w:val="00614BFA"/>
    <w:rsid w:val="00615D03"/>
    <w:rsid w:val="006208BB"/>
    <w:rsid w:val="00622540"/>
    <w:rsid w:val="006314EB"/>
    <w:rsid w:val="00636655"/>
    <w:rsid w:val="00640D1B"/>
    <w:rsid w:val="0064253A"/>
    <w:rsid w:val="00643649"/>
    <w:rsid w:val="00650DE2"/>
    <w:rsid w:val="006518EE"/>
    <w:rsid w:val="00655CF7"/>
    <w:rsid w:val="00657D0A"/>
    <w:rsid w:val="00660820"/>
    <w:rsid w:val="00672D37"/>
    <w:rsid w:val="00674362"/>
    <w:rsid w:val="006B0B27"/>
    <w:rsid w:val="006B105C"/>
    <w:rsid w:val="006B5149"/>
    <w:rsid w:val="006C1955"/>
    <w:rsid w:val="006E004C"/>
    <w:rsid w:val="006F259C"/>
    <w:rsid w:val="00706684"/>
    <w:rsid w:val="00721CE4"/>
    <w:rsid w:val="007326DA"/>
    <w:rsid w:val="007344A4"/>
    <w:rsid w:val="007351FD"/>
    <w:rsid w:val="00740DAE"/>
    <w:rsid w:val="00753C41"/>
    <w:rsid w:val="0075426B"/>
    <w:rsid w:val="00771E9F"/>
    <w:rsid w:val="00772C18"/>
    <w:rsid w:val="00775196"/>
    <w:rsid w:val="0078619C"/>
    <w:rsid w:val="00791F07"/>
    <w:rsid w:val="00792C50"/>
    <w:rsid w:val="00795C72"/>
    <w:rsid w:val="007A57FC"/>
    <w:rsid w:val="007B0667"/>
    <w:rsid w:val="007B745E"/>
    <w:rsid w:val="007C3F5E"/>
    <w:rsid w:val="007D525D"/>
    <w:rsid w:val="007D6745"/>
    <w:rsid w:val="007E0BC6"/>
    <w:rsid w:val="008071F3"/>
    <w:rsid w:val="008078C9"/>
    <w:rsid w:val="00810D21"/>
    <w:rsid w:val="00820C53"/>
    <w:rsid w:val="00822E9A"/>
    <w:rsid w:val="0082649A"/>
    <w:rsid w:val="0082704C"/>
    <w:rsid w:val="00827518"/>
    <w:rsid w:val="00827619"/>
    <w:rsid w:val="00852729"/>
    <w:rsid w:val="00853E0B"/>
    <w:rsid w:val="008552E3"/>
    <w:rsid w:val="008616E1"/>
    <w:rsid w:val="00861FF9"/>
    <w:rsid w:val="00862768"/>
    <w:rsid w:val="008631D9"/>
    <w:rsid w:val="00864C1C"/>
    <w:rsid w:val="0087072C"/>
    <w:rsid w:val="008941BC"/>
    <w:rsid w:val="008A4328"/>
    <w:rsid w:val="008D0E25"/>
    <w:rsid w:val="008E7A76"/>
    <w:rsid w:val="008F0A5E"/>
    <w:rsid w:val="008F6940"/>
    <w:rsid w:val="00913736"/>
    <w:rsid w:val="0091682D"/>
    <w:rsid w:val="00931E2A"/>
    <w:rsid w:val="00940585"/>
    <w:rsid w:val="009435FA"/>
    <w:rsid w:val="00943802"/>
    <w:rsid w:val="00952639"/>
    <w:rsid w:val="00957331"/>
    <w:rsid w:val="009639A0"/>
    <w:rsid w:val="00977DAF"/>
    <w:rsid w:val="009A11F2"/>
    <w:rsid w:val="009A2209"/>
    <w:rsid w:val="009B374C"/>
    <w:rsid w:val="009B70CF"/>
    <w:rsid w:val="009D2B0E"/>
    <w:rsid w:val="009D2E4B"/>
    <w:rsid w:val="009D399F"/>
    <w:rsid w:val="00A029E9"/>
    <w:rsid w:val="00A07EB0"/>
    <w:rsid w:val="00A123F1"/>
    <w:rsid w:val="00A124A0"/>
    <w:rsid w:val="00A137E7"/>
    <w:rsid w:val="00A3311A"/>
    <w:rsid w:val="00A33A97"/>
    <w:rsid w:val="00A354C6"/>
    <w:rsid w:val="00A4201C"/>
    <w:rsid w:val="00A43FEA"/>
    <w:rsid w:val="00A47E21"/>
    <w:rsid w:val="00A520D6"/>
    <w:rsid w:val="00A727F6"/>
    <w:rsid w:val="00A85405"/>
    <w:rsid w:val="00AB3370"/>
    <w:rsid w:val="00AB64A2"/>
    <w:rsid w:val="00AB7D4E"/>
    <w:rsid w:val="00AC3C03"/>
    <w:rsid w:val="00AC5316"/>
    <w:rsid w:val="00AC5497"/>
    <w:rsid w:val="00AE1BD4"/>
    <w:rsid w:val="00AE4371"/>
    <w:rsid w:val="00AF2BE1"/>
    <w:rsid w:val="00B35D90"/>
    <w:rsid w:val="00B3790F"/>
    <w:rsid w:val="00B503E7"/>
    <w:rsid w:val="00B505E9"/>
    <w:rsid w:val="00B52BA0"/>
    <w:rsid w:val="00B5663E"/>
    <w:rsid w:val="00B66B7F"/>
    <w:rsid w:val="00B80E5F"/>
    <w:rsid w:val="00B92E74"/>
    <w:rsid w:val="00B95491"/>
    <w:rsid w:val="00BA1E43"/>
    <w:rsid w:val="00BA6048"/>
    <w:rsid w:val="00BA7F57"/>
    <w:rsid w:val="00BA7F8C"/>
    <w:rsid w:val="00BB6AF1"/>
    <w:rsid w:val="00BC0D99"/>
    <w:rsid w:val="00BC1481"/>
    <w:rsid w:val="00BC52BB"/>
    <w:rsid w:val="00BC574C"/>
    <w:rsid w:val="00BC59B2"/>
    <w:rsid w:val="00BC78AD"/>
    <w:rsid w:val="00BD1C4B"/>
    <w:rsid w:val="00BD4E48"/>
    <w:rsid w:val="00BD7127"/>
    <w:rsid w:val="00BE3927"/>
    <w:rsid w:val="00C13A9C"/>
    <w:rsid w:val="00C26CE9"/>
    <w:rsid w:val="00C30419"/>
    <w:rsid w:val="00C44000"/>
    <w:rsid w:val="00C6545F"/>
    <w:rsid w:val="00C6593B"/>
    <w:rsid w:val="00C65E78"/>
    <w:rsid w:val="00C74DCF"/>
    <w:rsid w:val="00C7619E"/>
    <w:rsid w:val="00C8789E"/>
    <w:rsid w:val="00C950DF"/>
    <w:rsid w:val="00CB337D"/>
    <w:rsid w:val="00CB7BC3"/>
    <w:rsid w:val="00CD2D6B"/>
    <w:rsid w:val="00CE29BF"/>
    <w:rsid w:val="00CE661B"/>
    <w:rsid w:val="00CF3280"/>
    <w:rsid w:val="00CF5B05"/>
    <w:rsid w:val="00D06700"/>
    <w:rsid w:val="00D103D2"/>
    <w:rsid w:val="00D14B8D"/>
    <w:rsid w:val="00D1711D"/>
    <w:rsid w:val="00D237F7"/>
    <w:rsid w:val="00D2439F"/>
    <w:rsid w:val="00D25E99"/>
    <w:rsid w:val="00D438AE"/>
    <w:rsid w:val="00D45183"/>
    <w:rsid w:val="00D54E85"/>
    <w:rsid w:val="00D55B42"/>
    <w:rsid w:val="00D55D0E"/>
    <w:rsid w:val="00D6665D"/>
    <w:rsid w:val="00D72687"/>
    <w:rsid w:val="00D92743"/>
    <w:rsid w:val="00D9412C"/>
    <w:rsid w:val="00D96F4E"/>
    <w:rsid w:val="00DB1CDB"/>
    <w:rsid w:val="00DC2E6A"/>
    <w:rsid w:val="00DD76F0"/>
    <w:rsid w:val="00DD7B7A"/>
    <w:rsid w:val="00DD7D11"/>
    <w:rsid w:val="00DE0DBB"/>
    <w:rsid w:val="00DE0F8F"/>
    <w:rsid w:val="00DE28FB"/>
    <w:rsid w:val="00DE30F6"/>
    <w:rsid w:val="00DE3883"/>
    <w:rsid w:val="00DF5729"/>
    <w:rsid w:val="00E01FA5"/>
    <w:rsid w:val="00E02774"/>
    <w:rsid w:val="00E12FE5"/>
    <w:rsid w:val="00E156C9"/>
    <w:rsid w:val="00E177B3"/>
    <w:rsid w:val="00E22D80"/>
    <w:rsid w:val="00E25F69"/>
    <w:rsid w:val="00E267C2"/>
    <w:rsid w:val="00E27612"/>
    <w:rsid w:val="00E34213"/>
    <w:rsid w:val="00E561DF"/>
    <w:rsid w:val="00E667CD"/>
    <w:rsid w:val="00E67A43"/>
    <w:rsid w:val="00E80687"/>
    <w:rsid w:val="00E83E45"/>
    <w:rsid w:val="00E87BEE"/>
    <w:rsid w:val="00E95B54"/>
    <w:rsid w:val="00EB5F9A"/>
    <w:rsid w:val="00EC340F"/>
    <w:rsid w:val="00EC3DCF"/>
    <w:rsid w:val="00EC5184"/>
    <w:rsid w:val="00EC630B"/>
    <w:rsid w:val="00ED0048"/>
    <w:rsid w:val="00EE65D2"/>
    <w:rsid w:val="00EE6879"/>
    <w:rsid w:val="00EF20FB"/>
    <w:rsid w:val="00EF5F01"/>
    <w:rsid w:val="00EF6BEB"/>
    <w:rsid w:val="00EF72AD"/>
    <w:rsid w:val="00F13958"/>
    <w:rsid w:val="00F1458B"/>
    <w:rsid w:val="00F1798D"/>
    <w:rsid w:val="00F35225"/>
    <w:rsid w:val="00F362A2"/>
    <w:rsid w:val="00F37834"/>
    <w:rsid w:val="00F50E33"/>
    <w:rsid w:val="00F659F3"/>
    <w:rsid w:val="00F66DB8"/>
    <w:rsid w:val="00F70946"/>
    <w:rsid w:val="00F75EBE"/>
    <w:rsid w:val="00F83598"/>
    <w:rsid w:val="00FA1D71"/>
    <w:rsid w:val="00FA30C2"/>
    <w:rsid w:val="00FA4548"/>
    <w:rsid w:val="00FA5712"/>
    <w:rsid w:val="00FA7716"/>
    <w:rsid w:val="00FA7F8F"/>
    <w:rsid w:val="00FC48F3"/>
    <w:rsid w:val="00FC6BB7"/>
    <w:rsid w:val="00FC7119"/>
    <w:rsid w:val="00FD2770"/>
    <w:rsid w:val="00FD7957"/>
    <w:rsid w:val="00FD7C41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4DE9434"/>
  <w15:docId w15:val="{EB8443DB-C5BE-4CB7-AC1A-F4AE1D49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84"/>
      </w:tabs>
      <w:spacing w:before="60" w:after="60"/>
      <w:outlineLvl w:val="0"/>
    </w:pPr>
    <w:rPr>
      <w:rFonts w:ascii="Arial" w:hAnsi="Arial" w:cs="Arial"/>
      <w:b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interno">
    <w:name w:val="Indirizzo interno"/>
    <w:basedOn w:val="Corpotesto"/>
    <w:pPr>
      <w:spacing w:after="0" w:line="240" w:lineRule="atLeast"/>
    </w:pPr>
    <w:rPr>
      <w:rFonts w:ascii="Garamond" w:hAnsi="Garamond"/>
      <w:kern w:val="18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tabs>
        <w:tab w:val="left" w:pos="284"/>
        <w:tab w:val="right" w:pos="1418"/>
      </w:tabs>
      <w:spacing w:before="60" w:after="60"/>
    </w:pPr>
    <w:rPr>
      <w:rFonts w:ascii="Arial" w:hAnsi="Arial" w:cs="Arial"/>
      <w:b/>
      <w:sz w:val="16"/>
      <w:szCs w:val="16"/>
    </w:rPr>
  </w:style>
  <w:style w:type="character" w:customStyle="1" w:styleId="xbe">
    <w:name w:val="_xbe"/>
    <w:rsid w:val="006E004C"/>
  </w:style>
  <w:style w:type="character" w:customStyle="1" w:styleId="qug">
    <w:name w:val="_qug"/>
    <w:rsid w:val="006E004C"/>
  </w:style>
  <w:style w:type="character" w:customStyle="1" w:styleId="longtext">
    <w:name w:val="long_text"/>
    <w:rsid w:val="00775196"/>
  </w:style>
  <w:style w:type="paragraph" w:customStyle="1" w:styleId="BasicParagraph">
    <w:name w:val="[Basic Paragraph]"/>
    <w:basedOn w:val="Normale"/>
    <w:uiPriority w:val="99"/>
    <w:rsid w:val="00ED0048"/>
    <w:pPr>
      <w:widowControl w:val="0"/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GB"/>
    </w:rPr>
  </w:style>
  <w:style w:type="paragraph" w:styleId="Paragrafoelenco">
    <w:name w:val="List Paragraph"/>
    <w:basedOn w:val="Normale"/>
    <w:uiPriority w:val="72"/>
    <w:rsid w:val="00DD7B7A"/>
    <w:pPr>
      <w:ind w:left="720"/>
      <w:contextualSpacing/>
    </w:pPr>
  </w:style>
  <w:style w:type="paragraph" w:styleId="Revisione">
    <w:name w:val="Revision"/>
    <w:hidden/>
    <w:uiPriority w:val="71"/>
    <w:semiHidden/>
    <w:rsid w:val="00FA4548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316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16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164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16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1644"/>
    <w:rPr>
      <w:b/>
      <w:bCs/>
    </w:rPr>
  </w:style>
  <w:style w:type="table" w:styleId="Grigliatabella">
    <w:name w:val="Table Grid"/>
    <w:basedOn w:val="Tabellanormale"/>
    <w:uiPriority w:val="59"/>
    <w:rsid w:val="0093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0524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94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ianR\Desktop\Lettera_euroth_ital_3010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9EC51D998EC4996D904DCDC4C6281" ma:contentTypeVersion="7" ma:contentTypeDescription="Creare un nuovo documento." ma:contentTypeScope="" ma:versionID="5eaef22586095c97f8fb1ce89448f1fd">
  <xsd:schema xmlns:xsd="http://www.w3.org/2001/XMLSchema" xmlns:xs="http://www.w3.org/2001/XMLSchema" xmlns:p="http://schemas.microsoft.com/office/2006/metadata/properties" xmlns:ns2="6271a5ff-c52e-4876-9f2c-2ffae6494ce4" xmlns:ns3="4a78a783-9032-4877-9df0-8ecb32e90b73" targetNamespace="http://schemas.microsoft.com/office/2006/metadata/properties" ma:root="true" ma:fieldsID="17e71e9f689540e57b445d645cf109f4" ns2:_="" ns3:_="">
    <xsd:import namespace="6271a5ff-c52e-4876-9f2c-2ffae6494ce4"/>
    <xsd:import namespace="4a78a783-9032-4877-9df0-8ecb32e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ah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a5ff-c52e-4876-9f2c-2ffae649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hl" ma:index="10" nillable="true" ma:displayName="Zahl" ma:format="Dropdown" ma:internalName="Zahl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a783-9032-4877-9df0-8ecb32e9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l xmlns="6271a5ff-c52e-4876-9f2c-2ffae6494ce4" xsi:nil="true"/>
  </documentManagement>
</p:properties>
</file>

<file path=customXml/itemProps1.xml><?xml version="1.0" encoding="utf-8"?>
<ds:datastoreItem xmlns:ds="http://schemas.openxmlformats.org/officeDocument/2006/customXml" ds:itemID="{21427464-1EE8-47E7-910F-53D62121E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38AB0-8E55-4624-A168-CF35FE6A6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AACD6-41D3-44FB-86D2-226D155AEA56}"/>
</file>

<file path=customXml/itemProps4.xml><?xml version="1.0" encoding="utf-8"?>
<ds:datastoreItem xmlns:ds="http://schemas.openxmlformats.org/officeDocument/2006/customXml" ds:itemID="{44412348-5C05-4D96-AFCA-0EBAB69C449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4a78a783-9032-4877-9df0-8ecb32e90b73"/>
    <ds:schemaRef ds:uri="http://schemas.openxmlformats.org/package/2006/metadata/core-properties"/>
    <ds:schemaRef ds:uri="http://purl.org/dc/terms/"/>
    <ds:schemaRef ds:uri="http://schemas.microsoft.com/office/2006/metadata/properties"/>
    <ds:schemaRef ds:uri="6271a5ff-c52e-4876-9f2c-2ffae6494ce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Lettera_euroth_ital_301006.dot</Template>
  <TotalTime>1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EUROTHERM s.r.l.</Company>
  <LinksUpToDate>false</LinksUpToDate>
  <CharactersWithSpaces>5848</CharactersWithSpaces>
  <SharedDoc>false</SharedDoc>
  <HLinks>
    <vt:vector size="12" baseType="variant"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http://www.eurotherm.info/</vt:lpwstr>
      </vt:variant>
      <vt:variant>
        <vt:lpwstr/>
      </vt:variant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mailto:mai@eurotherm.info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KristianR</dc:creator>
  <cp:lastModifiedBy>Marjola Zgurati</cp:lastModifiedBy>
  <cp:revision>2</cp:revision>
  <cp:lastPrinted>2016-10-17T09:19:00Z</cp:lastPrinted>
  <dcterms:created xsi:type="dcterms:W3CDTF">2024-01-18T07:20:00Z</dcterms:created>
  <dcterms:modified xsi:type="dcterms:W3CDTF">2024-01-18T07:20:00Z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0x010100DD89EC51D998EC4996D904DCDC4C6281</vt:lpwstr>
  </property>
</Properties>
</file>