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5489" w14:textId="7774FC18" w:rsidR="008D0224" w:rsidRPr="003241D4" w:rsidRDefault="008D0224" w:rsidP="00C15D19">
      <w:pPr>
        <w:pStyle w:val="Titolo1"/>
        <w:tabs>
          <w:tab w:val="clear" w:pos="284"/>
          <w:tab w:val="left" w:pos="1240"/>
        </w:tabs>
        <w:overflowPunct/>
        <w:autoSpaceDE/>
        <w:autoSpaceDN/>
        <w:adjustRightInd/>
        <w:spacing w:before="240" w:after="120"/>
        <w:jc w:val="both"/>
        <w:textAlignment w:val="auto"/>
        <w:rPr>
          <w:rFonts w:ascii="Verdana" w:eastAsia="Times" w:hAnsi="Verdana" w:cs="Times New Roman"/>
          <w:bCs/>
          <w:sz w:val="18"/>
          <w:szCs w:val="18"/>
        </w:rPr>
      </w:pPr>
      <w:r w:rsidRPr="003241D4">
        <w:rPr>
          <w:rFonts w:ascii="Verdana" w:eastAsia="Times" w:hAnsi="Verdana" w:cs="Times New Roman"/>
          <w:bCs/>
          <w:sz w:val="18"/>
          <w:szCs w:val="18"/>
        </w:rPr>
        <w:t>V</w:t>
      </w:r>
      <w:r w:rsidR="003241D4" w:rsidRPr="003241D4">
        <w:rPr>
          <w:rFonts w:ascii="Verdana" w:eastAsia="Times" w:hAnsi="Verdana" w:cs="Times New Roman"/>
          <w:bCs/>
          <w:sz w:val="18"/>
          <w:szCs w:val="18"/>
        </w:rPr>
        <w:t>OCE DI CAPITOLATO IT – SAPP CEILING</w:t>
      </w:r>
      <w:r w:rsidRPr="003241D4">
        <w:rPr>
          <w:rFonts w:ascii="Verdana" w:eastAsia="Times" w:hAnsi="Verdana" w:cs="Times New Roman"/>
          <w:bCs/>
          <w:sz w:val="18"/>
          <w:szCs w:val="18"/>
        </w:rPr>
        <w:t>®</w:t>
      </w:r>
    </w:p>
    <w:p w14:paraId="1082A7F4" w14:textId="001F2EB6" w:rsidR="003241D4" w:rsidRPr="003241D4" w:rsidRDefault="009460B1" w:rsidP="00C15D19">
      <w:pPr>
        <w:spacing w:line="360" w:lineRule="auto"/>
        <w:ind w:right="22"/>
        <w:jc w:val="both"/>
        <w:rPr>
          <w:rFonts w:ascii="Verdana" w:hAnsi="Verdana"/>
          <w:sz w:val="18"/>
          <w:szCs w:val="18"/>
        </w:rPr>
      </w:pPr>
      <w:r w:rsidRPr="003241D4">
        <w:rPr>
          <w:rFonts w:ascii="Verdana" w:hAnsi="Verdana"/>
          <w:sz w:val="18"/>
          <w:szCs w:val="18"/>
        </w:rPr>
        <w:t xml:space="preserve">Fornitura e posa di </w:t>
      </w:r>
      <w:r w:rsidRPr="003241D4">
        <w:rPr>
          <w:rFonts w:ascii="Verdana" w:hAnsi="Verdana"/>
          <w:b/>
          <w:sz w:val="18"/>
          <w:szCs w:val="18"/>
        </w:rPr>
        <w:t>SAPP Ceiling</w:t>
      </w:r>
      <w:r w:rsidRPr="003241D4">
        <w:rPr>
          <w:rFonts w:ascii="Verdana" w:hAnsi="Verdana"/>
          <w:b/>
          <w:sz w:val="18"/>
          <w:szCs w:val="18"/>
          <w:vertAlign w:val="superscript"/>
        </w:rPr>
        <w:t>®</w:t>
      </w:r>
      <w:r w:rsidRPr="003241D4">
        <w:rPr>
          <w:rFonts w:ascii="Verdana" w:hAnsi="Verdana"/>
          <w:sz w:val="18"/>
          <w:szCs w:val="18"/>
        </w:rPr>
        <w:t xml:space="preserve"> controsoffitto radiante metallico per riscaldamento e raffrescamento con proprietà di fono</w:t>
      </w:r>
      <w:r w:rsidR="00BA2A03" w:rsidRPr="003241D4">
        <w:rPr>
          <w:rFonts w:ascii="Verdana" w:hAnsi="Verdana"/>
          <w:sz w:val="18"/>
          <w:szCs w:val="18"/>
        </w:rPr>
        <w:t>-</w:t>
      </w:r>
      <w:r w:rsidRPr="003241D4">
        <w:rPr>
          <w:rFonts w:ascii="Verdana" w:hAnsi="Verdana"/>
          <w:sz w:val="18"/>
          <w:szCs w:val="18"/>
        </w:rPr>
        <w:t xml:space="preserve">assorbenza. </w:t>
      </w:r>
      <w:r w:rsidR="008262E0" w:rsidRPr="003241D4">
        <w:rPr>
          <w:rFonts w:ascii="Verdana" w:hAnsi="Verdana"/>
          <w:sz w:val="18"/>
          <w:szCs w:val="18"/>
        </w:rPr>
        <w:t>SAPP</w:t>
      </w:r>
      <w:r w:rsidRPr="003241D4">
        <w:rPr>
          <w:rFonts w:ascii="Verdana" w:hAnsi="Verdana"/>
          <w:sz w:val="18"/>
          <w:szCs w:val="18"/>
        </w:rPr>
        <w:t xml:space="preserve"> Ceiling</w:t>
      </w:r>
      <w:r w:rsidR="008262E0" w:rsidRPr="003241D4">
        <w:rPr>
          <w:rFonts w:ascii="Verdana" w:hAnsi="Verdana"/>
          <w:sz w:val="18"/>
          <w:szCs w:val="18"/>
          <w:vertAlign w:val="superscript"/>
        </w:rPr>
        <w:t>®</w:t>
      </w:r>
      <w:r w:rsidR="008262E0" w:rsidRPr="003241D4">
        <w:rPr>
          <w:rFonts w:ascii="Verdana" w:hAnsi="Verdana"/>
          <w:sz w:val="18"/>
          <w:szCs w:val="18"/>
        </w:rPr>
        <w:t xml:space="preserve"> (Smart Acoustic Passive Power) è il sistema radiante che unisce senza compromessi, alte prestazioni, comfort acustico ed elevati standard di sostenibilità energetica a una soluzione estetica unica ed aperta</w:t>
      </w:r>
      <w:r w:rsidR="008D0224" w:rsidRPr="003241D4">
        <w:rPr>
          <w:rFonts w:ascii="Verdana" w:hAnsi="Verdana"/>
          <w:sz w:val="18"/>
          <w:szCs w:val="18"/>
        </w:rPr>
        <w:t>.</w:t>
      </w:r>
    </w:p>
    <w:p w14:paraId="539864EB" w14:textId="18647998" w:rsidR="003241D4" w:rsidRPr="003241D4" w:rsidRDefault="003241D4" w:rsidP="002E3C8A">
      <w:pPr>
        <w:spacing w:line="360" w:lineRule="auto"/>
        <w:ind w:right="22"/>
        <w:jc w:val="both"/>
        <w:rPr>
          <w:rFonts w:ascii="Verdana" w:hAnsi="Verdana"/>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3241D4" w:rsidRPr="003241D4" w14:paraId="18CAA8D8" w14:textId="77777777" w:rsidTr="003241D4">
        <w:tc>
          <w:tcPr>
            <w:tcW w:w="9920" w:type="dxa"/>
          </w:tcPr>
          <w:p w14:paraId="23E1641E" w14:textId="2D876700" w:rsidR="003241D4" w:rsidRPr="003241D4" w:rsidRDefault="00890084" w:rsidP="00C15D19">
            <w:pPr>
              <w:spacing w:line="360" w:lineRule="auto"/>
              <w:ind w:right="22"/>
              <w:jc w:val="center"/>
              <w:rPr>
                <w:rFonts w:ascii="Verdana" w:hAnsi="Verdana"/>
                <w:sz w:val="18"/>
                <w:szCs w:val="18"/>
              </w:rPr>
            </w:pPr>
            <w:r w:rsidRPr="00890084">
              <w:rPr>
                <w:rFonts w:ascii="Verdana" w:hAnsi="Verdana"/>
                <w:sz w:val="18"/>
                <w:szCs w:val="18"/>
              </w:rPr>
              <w:drawing>
                <wp:inline distT="0" distB="0" distL="0" distR="0" wp14:anchorId="3E874357" wp14:editId="662F405D">
                  <wp:extent cx="4296375" cy="2162477"/>
                  <wp:effectExtent l="0" t="0" r="9525" b="9525"/>
                  <wp:docPr id="16892379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37974" name=""/>
                          <pic:cNvPicPr/>
                        </pic:nvPicPr>
                        <pic:blipFill>
                          <a:blip r:embed="rId11"/>
                          <a:stretch>
                            <a:fillRect/>
                          </a:stretch>
                        </pic:blipFill>
                        <pic:spPr>
                          <a:xfrm>
                            <a:off x="0" y="0"/>
                            <a:ext cx="4296375" cy="2162477"/>
                          </a:xfrm>
                          <a:prstGeom prst="rect">
                            <a:avLst/>
                          </a:prstGeom>
                        </pic:spPr>
                      </pic:pic>
                    </a:graphicData>
                  </a:graphic>
                </wp:inline>
              </w:drawing>
            </w:r>
          </w:p>
        </w:tc>
      </w:tr>
    </w:tbl>
    <w:p w14:paraId="19FC668D" w14:textId="77777777" w:rsidR="003241D4" w:rsidRPr="003241D4" w:rsidRDefault="003241D4" w:rsidP="00C15D19">
      <w:pPr>
        <w:spacing w:line="360" w:lineRule="auto"/>
        <w:ind w:right="22"/>
        <w:jc w:val="both"/>
        <w:rPr>
          <w:rFonts w:ascii="Verdana" w:hAnsi="Verdana"/>
          <w:sz w:val="18"/>
          <w:szCs w:val="18"/>
        </w:rPr>
      </w:pPr>
    </w:p>
    <w:p w14:paraId="18C3A3B1" w14:textId="05633DE2" w:rsidR="004B6236" w:rsidRPr="003241D4" w:rsidRDefault="004B6236" w:rsidP="00C15D19">
      <w:pPr>
        <w:spacing w:line="360" w:lineRule="auto"/>
        <w:ind w:right="22"/>
        <w:jc w:val="both"/>
        <w:rPr>
          <w:rFonts w:ascii="Verdana" w:hAnsi="Verdana"/>
          <w:sz w:val="18"/>
          <w:szCs w:val="18"/>
        </w:rPr>
      </w:pPr>
      <w:r w:rsidRPr="003241D4">
        <w:rPr>
          <w:rFonts w:ascii="Verdana" w:hAnsi="Verdana"/>
          <w:sz w:val="18"/>
          <w:szCs w:val="18"/>
        </w:rPr>
        <w:t>Il soffitto radiante SAPP Ceiling</w:t>
      </w:r>
      <w:r w:rsidRPr="003241D4">
        <w:rPr>
          <w:rFonts w:ascii="Verdana" w:hAnsi="Verdana"/>
          <w:sz w:val="18"/>
          <w:szCs w:val="18"/>
          <w:vertAlign w:val="superscript"/>
        </w:rPr>
        <w:t>®</w:t>
      </w:r>
      <w:r w:rsidRPr="003241D4">
        <w:rPr>
          <w:rFonts w:ascii="Verdana" w:hAnsi="Verdana"/>
          <w:sz w:val="18"/>
          <w:szCs w:val="18"/>
        </w:rPr>
        <w:t xml:space="preserve"> è un sistema unico che combina </w:t>
      </w:r>
      <w:r w:rsidR="003241D4" w:rsidRPr="003241D4">
        <w:rPr>
          <w:rFonts w:ascii="Verdana" w:hAnsi="Verdana"/>
          <w:sz w:val="18"/>
          <w:szCs w:val="18"/>
        </w:rPr>
        <w:t>quattro</w:t>
      </w:r>
      <w:r w:rsidRPr="003241D4">
        <w:rPr>
          <w:rFonts w:ascii="Verdana" w:hAnsi="Verdana"/>
          <w:sz w:val="18"/>
          <w:szCs w:val="18"/>
        </w:rPr>
        <w:t xml:space="preserve"> fondamentali caratteristiche</w:t>
      </w:r>
      <w:r w:rsidR="003241D4" w:rsidRPr="003241D4">
        <w:rPr>
          <w:rFonts w:ascii="Verdana" w:hAnsi="Verdana"/>
          <w:sz w:val="18"/>
          <w:szCs w:val="18"/>
        </w:rPr>
        <w:t>:</w:t>
      </w:r>
      <w:r w:rsidRPr="003241D4">
        <w:rPr>
          <w:rFonts w:ascii="Verdana" w:hAnsi="Verdana"/>
          <w:sz w:val="18"/>
          <w:szCs w:val="18"/>
        </w:rPr>
        <w:t xml:space="preserve"> </w:t>
      </w:r>
      <w:r w:rsidR="00CD6B8B" w:rsidRPr="003241D4">
        <w:rPr>
          <w:rFonts w:ascii="Verdana" w:hAnsi="Verdana"/>
          <w:sz w:val="18"/>
          <w:szCs w:val="18"/>
        </w:rPr>
        <w:t>r</w:t>
      </w:r>
      <w:r w:rsidR="00281C59" w:rsidRPr="003241D4">
        <w:rPr>
          <w:rFonts w:ascii="Verdana" w:hAnsi="Verdana"/>
          <w:sz w:val="18"/>
          <w:szCs w:val="18"/>
        </w:rPr>
        <w:t>esa in raffrescamento base, di</w:t>
      </w:r>
      <w:r w:rsidRPr="003241D4">
        <w:rPr>
          <w:rFonts w:ascii="Verdana" w:hAnsi="Verdana"/>
          <w:sz w:val="18"/>
          <w:szCs w:val="18"/>
        </w:rPr>
        <w:t xml:space="preserve"> 103W/m</w:t>
      </w:r>
      <w:r w:rsidR="005325FD" w:rsidRPr="003241D4">
        <w:rPr>
          <w:rFonts w:ascii="Verdana" w:hAnsi="Verdana"/>
          <w:sz w:val="18"/>
          <w:szCs w:val="18"/>
          <w:vertAlign w:val="superscript"/>
        </w:rPr>
        <w:t>2</w:t>
      </w:r>
      <w:r w:rsidR="00CD6B8B" w:rsidRPr="003241D4">
        <w:rPr>
          <w:rFonts w:ascii="Verdana" w:hAnsi="Verdana"/>
          <w:sz w:val="18"/>
          <w:szCs w:val="18"/>
        </w:rPr>
        <w:t>, o</w:t>
      </w:r>
      <w:r w:rsidRPr="003241D4">
        <w:rPr>
          <w:rFonts w:ascii="Verdana" w:hAnsi="Verdana"/>
          <w:sz w:val="18"/>
          <w:szCs w:val="18"/>
        </w:rPr>
        <w:t>ttime proprietà acustiche rel</w:t>
      </w:r>
      <w:r w:rsidR="00CD6B8B" w:rsidRPr="003241D4">
        <w:rPr>
          <w:rFonts w:ascii="Verdana" w:hAnsi="Verdana"/>
          <w:sz w:val="18"/>
          <w:szCs w:val="18"/>
        </w:rPr>
        <w:t>ative alle frequenze della voce, e</w:t>
      </w:r>
      <w:r w:rsidRPr="003241D4">
        <w:rPr>
          <w:rFonts w:ascii="Verdana" w:hAnsi="Verdana"/>
          <w:sz w:val="18"/>
          <w:szCs w:val="18"/>
        </w:rPr>
        <w:t>levata flessibilità in funzione della regolazione (sistema 4 tubi caldo/freddo), divisione dei locali interni ed integrazione con gli altri impianti (luci, distribuzione aria, cablaggi elettrici ecc.)</w:t>
      </w:r>
      <w:r w:rsidR="00CD6B8B" w:rsidRPr="003241D4">
        <w:rPr>
          <w:rFonts w:ascii="Verdana" w:hAnsi="Verdana"/>
          <w:sz w:val="18"/>
          <w:szCs w:val="18"/>
        </w:rPr>
        <w:t>, p</w:t>
      </w:r>
      <w:r w:rsidR="000B6A49" w:rsidRPr="003241D4">
        <w:rPr>
          <w:rFonts w:ascii="Verdana" w:hAnsi="Verdana"/>
          <w:sz w:val="18"/>
          <w:szCs w:val="18"/>
        </w:rPr>
        <w:t xml:space="preserve">uò essere utilizzato come soffitto continuo o a isole. </w:t>
      </w:r>
    </w:p>
    <w:p w14:paraId="19560F06" w14:textId="33C2AC72" w:rsidR="000E3B39" w:rsidRDefault="00B9668A" w:rsidP="00C15D19">
      <w:pPr>
        <w:spacing w:line="360" w:lineRule="auto"/>
        <w:ind w:right="22"/>
        <w:jc w:val="both"/>
        <w:rPr>
          <w:rFonts w:ascii="Verdana" w:hAnsi="Verdana"/>
          <w:sz w:val="18"/>
          <w:szCs w:val="18"/>
        </w:rPr>
      </w:pPr>
      <w:r w:rsidRPr="003241D4">
        <w:rPr>
          <w:rFonts w:ascii="Verdana" w:hAnsi="Verdana"/>
          <w:sz w:val="18"/>
          <w:szCs w:val="18"/>
        </w:rPr>
        <w:t xml:space="preserve">Il soffitto </w:t>
      </w:r>
      <w:r w:rsidR="00836DFB" w:rsidRPr="003241D4">
        <w:rPr>
          <w:rFonts w:ascii="Verdana" w:hAnsi="Verdana"/>
          <w:sz w:val="18"/>
          <w:szCs w:val="18"/>
        </w:rPr>
        <w:t>SAPP Ceiling</w:t>
      </w:r>
      <w:r w:rsidR="00836DFB" w:rsidRPr="003241D4">
        <w:rPr>
          <w:rFonts w:ascii="Verdana" w:hAnsi="Verdana"/>
          <w:sz w:val="18"/>
          <w:szCs w:val="18"/>
          <w:vertAlign w:val="superscript"/>
        </w:rPr>
        <w:t>®</w:t>
      </w:r>
      <w:r w:rsidR="00836DFB" w:rsidRPr="003241D4">
        <w:rPr>
          <w:rFonts w:ascii="Verdana" w:hAnsi="Verdana"/>
          <w:sz w:val="18"/>
          <w:szCs w:val="18"/>
        </w:rPr>
        <w:t xml:space="preserve"> è realizzato con </w:t>
      </w:r>
      <w:r w:rsidRPr="003241D4">
        <w:rPr>
          <w:rFonts w:ascii="Verdana" w:hAnsi="Verdana"/>
          <w:sz w:val="18"/>
          <w:szCs w:val="18"/>
        </w:rPr>
        <w:t>pannelli (doghe) in acciaio e giunti aperti</w:t>
      </w:r>
      <w:r w:rsidR="004B6236" w:rsidRPr="003241D4">
        <w:rPr>
          <w:rFonts w:ascii="Verdana" w:hAnsi="Verdana"/>
          <w:sz w:val="18"/>
          <w:szCs w:val="18"/>
        </w:rPr>
        <w:t>,</w:t>
      </w:r>
      <w:r w:rsidRPr="003241D4">
        <w:rPr>
          <w:rFonts w:ascii="Verdana" w:hAnsi="Verdana"/>
          <w:sz w:val="18"/>
          <w:szCs w:val="18"/>
        </w:rPr>
        <w:t xml:space="preserve"> che danno origine ad un modulo co</w:t>
      </w:r>
      <w:r w:rsidR="00B42591" w:rsidRPr="003241D4">
        <w:rPr>
          <w:rFonts w:ascii="Verdana" w:hAnsi="Verdana"/>
          <w:sz w:val="18"/>
          <w:szCs w:val="18"/>
        </w:rPr>
        <w:t>n rapporti pieni/vuoti ad interasse</w:t>
      </w:r>
      <w:r w:rsidR="000E3B39" w:rsidRPr="003241D4">
        <w:rPr>
          <w:rFonts w:ascii="Verdana" w:hAnsi="Verdana"/>
          <w:sz w:val="18"/>
          <w:szCs w:val="18"/>
        </w:rPr>
        <w:t xml:space="preserve"> 50 mm.</w:t>
      </w:r>
    </w:p>
    <w:p w14:paraId="4E5E6B07" w14:textId="1A8830FF" w:rsidR="00FE1897" w:rsidRPr="003241D4" w:rsidRDefault="00FE1897" w:rsidP="00C15D19">
      <w:pPr>
        <w:spacing w:line="360" w:lineRule="auto"/>
        <w:ind w:right="22"/>
        <w:jc w:val="both"/>
        <w:rPr>
          <w:rFonts w:ascii="Verdana" w:hAnsi="Verdana"/>
          <w:sz w:val="18"/>
          <w:szCs w:val="18"/>
        </w:rPr>
      </w:pPr>
      <w:r>
        <w:rPr>
          <w:rFonts w:ascii="Verdana" w:hAnsi="Verdana"/>
          <w:sz w:val="18"/>
          <w:szCs w:val="18"/>
        </w:rPr>
        <w:t xml:space="preserve">Le dimensioni delle doghe sono le seguenti: </w:t>
      </w:r>
      <w:r w:rsidRPr="00FE1897">
        <w:rPr>
          <w:rFonts w:ascii="Verdana" w:hAnsi="Verdana"/>
          <w:sz w:val="18"/>
          <w:szCs w:val="18"/>
          <w:u w:val="single"/>
        </w:rPr>
        <w:t>larghezze</w:t>
      </w:r>
      <w:r>
        <w:rPr>
          <w:rFonts w:ascii="Verdana" w:hAnsi="Verdana"/>
          <w:sz w:val="18"/>
          <w:szCs w:val="18"/>
        </w:rPr>
        <w:t xml:space="preserve">: 30 mm, </w:t>
      </w:r>
      <w:r w:rsidRPr="00FE1897">
        <w:rPr>
          <w:rFonts w:ascii="Verdana" w:hAnsi="Verdana"/>
          <w:sz w:val="18"/>
          <w:szCs w:val="18"/>
          <w:u w:val="single"/>
        </w:rPr>
        <w:t>altezza</w:t>
      </w:r>
      <w:r>
        <w:rPr>
          <w:rFonts w:ascii="Verdana" w:hAnsi="Verdana"/>
          <w:sz w:val="18"/>
          <w:szCs w:val="18"/>
        </w:rPr>
        <w:t xml:space="preserve"> 38, </w:t>
      </w:r>
      <w:r w:rsidRPr="00FE1897">
        <w:rPr>
          <w:rFonts w:ascii="Verdana" w:hAnsi="Verdana"/>
          <w:sz w:val="18"/>
          <w:szCs w:val="18"/>
          <w:u w:val="single"/>
        </w:rPr>
        <w:t>spessore</w:t>
      </w:r>
      <w:r>
        <w:rPr>
          <w:rFonts w:ascii="Verdana" w:hAnsi="Verdana"/>
          <w:sz w:val="18"/>
          <w:szCs w:val="18"/>
        </w:rPr>
        <w:t xml:space="preserve"> 0.4 mm.</w:t>
      </w:r>
    </w:p>
    <w:p w14:paraId="1656CDD4" w14:textId="5C96D4D5" w:rsidR="000E3B39" w:rsidRPr="003241D4" w:rsidRDefault="000E3B39" w:rsidP="00C15D19">
      <w:pPr>
        <w:spacing w:line="360" w:lineRule="auto"/>
        <w:ind w:right="22"/>
        <w:jc w:val="both"/>
        <w:rPr>
          <w:rFonts w:ascii="Verdana" w:hAnsi="Verdana"/>
          <w:sz w:val="18"/>
          <w:szCs w:val="18"/>
        </w:rPr>
      </w:pPr>
      <w:r w:rsidRPr="003241D4">
        <w:rPr>
          <w:rFonts w:ascii="Verdana" w:hAnsi="Verdana"/>
          <w:sz w:val="18"/>
          <w:szCs w:val="18"/>
        </w:rPr>
        <w:t>Lunghezza doghe: secondo le dimensioni del locale (max. 8000 mm)</w:t>
      </w:r>
    </w:p>
    <w:p w14:paraId="2A4AAD8D" w14:textId="35F041AE" w:rsidR="00B9668A" w:rsidRPr="003241D4" w:rsidRDefault="00B9668A" w:rsidP="00C15D19">
      <w:pPr>
        <w:spacing w:line="360" w:lineRule="auto"/>
        <w:ind w:right="22"/>
        <w:jc w:val="both"/>
        <w:rPr>
          <w:rFonts w:ascii="Verdana" w:hAnsi="Verdana"/>
          <w:sz w:val="18"/>
          <w:szCs w:val="18"/>
        </w:rPr>
      </w:pPr>
      <w:r w:rsidRPr="003241D4">
        <w:rPr>
          <w:rFonts w:ascii="Verdana" w:hAnsi="Verdana"/>
          <w:sz w:val="18"/>
          <w:szCs w:val="18"/>
        </w:rPr>
        <w:t>I soffitti saranno installati per ottenere superfici perfettamente orizzontali, senza increspature o altri difetti.</w:t>
      </w:r>
      <w:r w:rsidR="002E3C8A" w:rsidRPr="003241D4">
        <w:rPr>
          <w:rFonts w:ascii="Verdana" w:hAnsi="Verdana"/>
          <w:sz w:val="18"/>
          <w:szCs w:val="18"/>
        </w:rPr>
        <w:t xml:space="preserve"> </w:t>
      </w:r>
      <w:r w:rsidR="00613907" w:rsidRPr="003241D4">
        <w:rPr>
          <w:rFonts w:ascii="Verdana" w:hAnsi="Verdana"/>
          <w:sz w:val="18"/>
          <w:szCs w:val="18"/>
        </w:rPr>
        <w:t>Sono possibili le seguenti m</w:t>
      </w:r>
      <w:r w:rsidR="00A124B7" w:rsidRPr="003241D4">
        <w:rPr>
          <w:rFonts w:ascii="Verdana" w:hAnsi="Verdana"/>
          <w:sz w:val="18"/>
          <w:szCs w:val="18"/>
        </w:rPr>
        <w:t>odularità</w:t>
      </w:r>
      <w:r w:rsidR="00613907" w:rsidRPr="003241D4">
        <w:rPr>
          <w:rFonts w:ascii="Verdana" w:hAnsi="Verdana"/>
          <w:sz w:val="18"/>
          <w:szCs w:val="18"/>
        </w:rPr>
        <w:t xml:space="preserve"> in funzione </w:t>
      </w:r>
      <w:r w:rsidR="005325FD" w:rsidRPr="003241D4">
        <w:rPr>
          <w:rFonts w:ascii="Verdana" w:hAnsi="Verdana"/>
          <w:sz w:val="18"/>
          <w:szCs w:val="18"/>
        </w:rPr>
        <w:t>delle caratteristiche dell’edificio:</w:t>
      </w:r>
      <w:r w:rsidR="00A124B7" w:rsidRPr="003241D4">
        <w:rPr>
          <w:rFonts w:ascii="Verdana" w:hAnsi="Verdana"/>
          <w:sz w:val="18"/>
          <w:szCs w:val="18"/>
        </w:rPr>
        <w:t xml:space="preserve"> 1200 mm e 1350 mm</w:t>
      </w:r>
      <w:r w:rsidR="009460B1" w:rsidRPr="003241D4">
        <w:rPr>
          <w:rFonts w:ascii="Verdana" w:hAnsi="Verdana"/>
          <w:sz w:val="18"/>
          <w:szCs w:val="18"/>
        </w:rPr>
        <w:t>.</w:t>
      </w:r>
      <w:r w:rsidR="002E3C8A" w:rsidRPr="003241D4">
        <w:rPr>
          <w:rFonts w:ascii="Verdana" w:hAnsi="Verdana"/>
          <w:sz w:val="18"/>
          <w:szCs w:val="18"/>
        </w:rPr>
        <w:t xml:space="preserve"> </w:t>
      </w:r>
      <w:r w:rsidRPr="003241D4">
        <w:rPr>
          <w:rFonts w:ascii="Verdana" w:hAnsi="Verdana"/>
          <w:sz w:val="18"/>
          <w:szCs w:val="18"/>
        </w:rPr>
        <w:t>Il telaio di sospensione è costituito da profi</w:t>
      </w:r>
      <w:r w:rsidR="00B42591" w:rsidRPr="003241D4">
        <w:rPr>
          <w:rFonts w:ascii="Verdana" w:hAnsi="Verdana"/>
          <w:sz w:val="18"/>
          <w:szCs w:val="18"/>
        </w:rPr>
        <w:t xml:space="preserve">li di colore nero in acciaio </w:t>
      </w:r>
      <w:proofErr w:type="spellStart"/>
      <w:r w:rsidR="00B42591" w:rsidRPr="003241D4">
        <w:rPr>
          <w:rFonts w:ascii="Verdana" w:hAnsi="Verdana"/>
          <w:sz w:val="18"/>
          <w:szCs w:val="18"/>
        </w:rPr>
        <w:t>pre</w:t>
      </w:r>
      <w:proofErr w:type="spellEnd"/>
      <w:r w:rsidR="00CD6B8B" w:rsidRPr="003241D4">
        <w:rPr>
          <w:rFonts w:ascii="Verdana" w:hAnsi="Verdana"/>
          <w:sz w:val="18"/>
          <w:szCs w:val="18"/>
        </w:rPr>
        <w:t>-</w:t>
      </w:r>
      <w:r w:rsidRPr="003241D4">
        <w:rPr>
          <w:rFonts w:ascii="Verdana" w:hAnsi="Verdana"/>
          <w:sz w:val="18"/>
          <w:szCs w:val="18"/>
        </w:rPr>
        <w:t xml:space="preserve">verniciato su entrambi i lati con verniciatura a forno. </w:t>
      </w:r>
      <w:r w:rsidR="009460B1" w:rsidRPr="003241D4">
        <w:rPr>
          <w:rFonts w:ascii="Verdana" w:hAnsi="Verdana"/>
          <w:sz w:val="18"/>
          <w:szCs w:val="18"/>
        </w:rPr>
        <w:t xml:space="preserve">Spessore: </w:t>
      </w:r>
      <w:r w:rsidRPr="003241D4">
        <w:rPr>
          <w:rFonts w:ascii="Verdana" w:hAnsi="Verdana"/>
          <w:sz w:val="18"/>
          <w:szCs w:val="18"/>
        </w:rPr>
        <w:t>0,6 mm</w:t>
      </w:r>
      <w:r w:rsidR="00FE1897">
        <w:rPr>
          <w:rFonts w:ascii="Verdana" w:hAnsi="Verdana"/>
          <w:sz w:val="18"/>
          <w:szCs w:val="18"/>
        </w:rPr>
        <w:t xml:space="preserve">; </w:t>
      </w:r>
      <w:r w:rsidRPr="003241D4">
        <w:rPr>
          <w:rFonts w:ascii="Verdana" w:hAnsi="Verdana"/>
          <w:sz w:val="18"/>
          <w:szCs w:val="18"/>
        </w:rPr>
        <w:t>altezza 25 mm</w:t>
      </w:r>
      <w:r w:rsidR="00FF5D79">
        <w:rPr>
          <w:rFonts w:ascii="Verdana" w:hAnsi="Verdana"/>
          <w:sz w:val="18"/>
          <w:szCs w:val="18"/>
        </w:rPr>
        <w:t>;</w:t>
      </w:r>
      <w:r w:rsidRPr="003241D4">
        <w:rPr>
          <w:rFonts w:ascii="Verdana" w:hAnsi="Verdana"/>
          <w:sz w:val="18"/>
          <w:szCs w:val="18"/>
        </w:rPr>
        <w:t xml:space="preserve"> l</w:t>
      </w:r>
      <w:r w:rsidR="003E38C5" w:rsidRPr="003241D4">
        <w:rPr>
          <w:rFonts w:ascii="Verdana" w:hAnsi="Verdana"/>
          <w:sz w:val="18"/>
          <w:szCs w:val="18"/>
        </w:rPr>
        <w:t>ar</w:t>
      </w:r>
      <w:r w:rsidRPr="003241D4">
        <w:rPr>
          <w:rFonts w:ascii="Verdana" w:hAnsi="Verdana"/>
          <w:sz w:val="18"/>
          <w:szCs w:val="18"/>
        </w:rPr>
        <w:t>ghezza 55 mm</w:t>
      </w:r>
      <w:r w:rsidR="002E3C8A" w:rsidRPr="003241D4">
        <w:rPr>
          <w:rFonts w:ascii="Verdana" w:hAnsi="Verdana"/>
          <w:sz w:val="18"/>
          <w:szCs w:val="18"/>
        </w:rPr>
        <w:t>.</w:t>
      </w:r>
    </w:p>
    <w:p w14:paraId="0DF0B2A6" w14:textId="7032290A" w:rsidR="00B9668A" w:rsidRPr="003241D4" w:rsidRDefault="00B9668A" w:rsidP="00C15D19">
      <w:pPr>
        <w:spacing w:line="360" w:lineRule="auto"/>
        <w:ind w:right="22"/>
        <w:jc w:val="both"/>
        <w:rPr>
          <w:rFonts w:ascii="Verdana" w:hAnsi="Verdana"/>
          <w:sz w:val="18"/>
          <w:szCs w:val="18"/>
        </w:rPr>
      </w:pPr>
      <w:r w:rsidRPr="003241D4">
        <w:rPr>
          <w:rFonts w:ascii="Verdana" w:hAnsi="Verdana"/>
          <w:sz w:val="18"/>
          <w:szCs w:val="18"/>
        </w:rPr>
        <w:t>I p</w:t>
      </w:r>
      <w:r w:rsidR="00A13D03" w:rsidRPr="003241D4">
        <w:rPr>
          <w:rFonts w:ascii="Verdana" w:hAnsi="Verdana"/>
          <w:sz w:val="18"/>
          <w:szCs w:val="18"/>
        </w:rPr>
        <w:t>rofili sono dotati di punzoni a</w:t>
      </w:r>
      <w:r w:rsidRPr="003241D4">
        <w:rPr>
          <w:rFonts w:ascii="Verdana" w:hAnsi="Verdana"/>
          <w:sz w:val="18"/>
          <w:szCs w:val="18"/>
        </w:rPr>
        <w:t xml:space="preserve"> una distanza di 50 mm (con interposto il giunto aperto di 20 mm) per consentire il ritaglio (per le diverse lunghezze) e l’aggancio dei pannelli di tutti i moduli. I profili vengono fissati alla struttura di </w:t>
      </w:r>
      <w:r w:rsidR="00816CAB" w:rsidRPr="003241D4">
        <w:rPr>
          <w:rFonts w:ascii="Verdana" w:hAnsi="Verdana"/>
          <w:sz w:val="18"/>
          <w:szCs w:val="18"/>
        </w:rPr>
        <w:t>supporto</w:t>
      </w:r>
      <w:r w:rsidRPr="003241D4">
        <w:rPr>
          <w:rFonts w:ascii="Verdana" w:hAnsi="Verdana"/>
          <w:sz w:val="18"/>
          <w:szCs w:val="18"/>
        </w:rPr>
        <w:t xml:space="preserve"> sovrastante, con apposita </w:t>
      </w:r>
      <w:proofErr w:type="spellStart"/>
      <w:r w:rsidRPr="003241D4">
        <w:rPr>
          <w:rFonts w:ascii="Verdana" w:hAnsi="Verdana"/>
          <w:sz w:val="18"/>
          <w:szCs w:val="18"/>
        </w:rPr>
        <w:t>pendinatura</w:t>
      </w:r>
      <w:proofErr w:type="spellEnd"/>
      <w:r w:rsidRPr="003241D4">
        <w:rPr>
          <w:rFonts w:ascii="Verdana" w:hAnsi="Verdana"/>
          <w:sz w:val="18"/>
          <w:szCs w:val="18"/>
        </w:rPr>
        <w:t>.</w:t>
      </w:r>
    </w:p>
    <w:p w14:paraId="66023529" w14:textId="77777777" w:rsidR="00076731" w:rsidRPr="003241D4" w:rsidRDefault="00B9668A" w:rsidP="00C15D19">
      <w:pPr>
        <w:spacing w:line="360" w:lineRule="auto"/>
        <w:ind w:right="22"/>
        <w:jc w:val="both"/>
        <w:rPr>
          <w:rFonts w:ascii="Verdana" w:hAnsi="Verdana"/>
          <w:sz w:val="18"/>
          <w:szCs w:val="18"/>
        </w:rPr>
      </w:pPr>
      <w:r w:rsidRPr="003241D4">
        <w:rPr>
          <w:rFonts w:ascii="Verdana" w:hAnsi="Verdana"/>
          <w:sz w:val="18"/>
          <w:szCs w:val="18"/>
        </w:rPr>
        <w:t xml:space="preserve">La struttura del telaio di sospensione risulta invisibile ed è progettata in modo tale che ciascun pannello possa essere rimosso individualmente senza particolare attrezzatura. </w:t>
      </w:r>
    </w:p>
    <w:p w14:paraId="682520F5" w14:textId="07BD5C50" w:rsidR="00C65E78" w:rsidRPr="003241D4" w:rsidRDefault="00B9668A" w:rsidP="00C15D19">
      <w:pPr>
        <w:spacing w:line="360" w:lineRule="auto"/>
        <w:ind w:right="22"/>
        <w:jc w:val="both"/>
        <w:rPr>
          <w:rFonts w:ascii="Verdana" w:hAnsi="Verdana"/>
          <w:sz w:val="18"/>
          <w:szCs w:val="18"/>
        </w:rPr>
      </w:pPr>
      <w:r w:rsidRPr="003241D4">
        <w:rPr>
          <w:rFonts w:ascii="Verdana" w:hAnsi="Verdana"/>
          <w:sz w:val="18"/>
          <w:szCs w:val="18"/>
        </w:rPr>
        <w:t xml:space="preserve">Rispettando la modularità del sistema, è </w:t>
      </w:r>
      <w:r w:rsidR="00B42591" w:rsidRPr="003241D4">
        <w:rPr>
          <w:rFonts w:ascii="Verdana" w:hAnsi="Verdana"/>
          <w:sz w:val="18"/>
          <w:szCs w:val="18"/>
        </w:rPr>
        <w:t xml:space="preserve">possibile inserire delle pareti </w:t>
      </w:r>
      <w:r w:rsidRPr="003241D4">
        <w:rPr>
          <w:rFonts w:ascii="Verdana" w:hAnsi="Verdana"/>
          <w:sz w:val="18"/>
          <w:szCs w:val="18"/>
        </w:rPr>
        <w:t>divisorie, che dividono i vari ambienti.</w:t>
      </w:r>
      <w:r w:rsidR="00CD6B8B" w:rsidRPr="003241D4">
        <w:rPr>
          <w:rFonts w:ascii="Verdana" w:hAnsi="Verdana"/>
          <w:sz w:val="18"/>
          <w:szCs w:val="18"/>
        </w:rPr>
        <w:t xml:space="preserve"> </w:t>
      </w:r>
      <w:r w:rsidR="00B42591" w:rsidRPr="003241D4">
        <w:rPr>
          <w:rFonts w:ascii="Verdana" w:hAnsi="Verdana"/>
          <w:sz w:val="18"/>
          <w:szCs w:val="18"/>
        </w:rPr>
        <w:t>Il</w:t>
      </w:r>
      <w:r w:rsidRPr="003241D4">
        <w:rPr>
          <w:rFonts w:ascii="Verdana" w:hAnsi="Verdana"/>
          <w:sz w:val="18"/>
          <w:szCs w:val="18"/>
        </w:rPr>
        <w:t xml:space="preserve"> pannel</w:t>
      </w:r>
      <w:r w:rsidR="00816CAB" w:rsidRPr="003241D4">
        <w:rPr>
          <w:rFonts w:ascii="Verdana" w:hAnsi="Verdana"/>
          <w:sz w:val="18"/>
          <w:szCs w:val="18"/>
        </w:rPr>
        <w:t>lo del modulo (</w:t>
      </w:r>
      <w:proofErr w:type="spellStart"/>
      <w:r w:rsidR="00816CAB" w:rsidRPr="003241D4">
        <w:rPr>
          <w:rFonts w:ascii="Verdana" w:hAnsi="Verdana"/>
          <w:sz w:val="18"/>
          <w:szCs w:val="18"/>
        </w:rPr>
        <w:t>Bandraster</w:t>
      </w:r>
      <w:proofErr w:type="spellEnd"/>
      <w:r w:rsidR="00816CAB" w:rsidRPr="003241D4">
        <w:rPr>
          <w:rFonts w:ascii="Verdana" w:hAnsi="Verdana"/>
          <w:sz w:val="18"/>
          <w:szCs w:val="18"/>
        </w:rPr>
        <w:t>) è</w:t>
      </w:r>
      <w:r w:rsidRPr="003241D4">
        <w:rPr>
          <w:rFonts w:ascii="Verdana" w:hAnsi="Verdana"/>
          <w:sz w:val="18"/>
          <w:szCs w:val="18"/>
        </w:rPr>
        <w:t xml:space="preserve"> adeguatamente rinforzato per supportare il fissaggio della parete.</w:t>
      </w:r>
      <w:r w:rsidR="00CD6B8B" w:rsidRPr="003241D4">
        <w:rPr>
          <w:rFonts w:ascii="Verdana" w:hAnsi="Verdana"/>
          <w:sz w:val="18"/>
          <w:szCs w:val="18"/>
        </w:rPr>
        <w:t xml:space="preserve"> </w:t>
      </w:r>
      <w:r w:rsidR="00B42591" w:rsidRPr="003241D4">
        <w:rPr>
          <w:rFonts w:ascii="Verdana" w:hAnsi="Verdana"/>
          <w:sz w:val="18"/>
          <w:szCs w:val="18"/>
        </w:rPr>
        <w:t>Su ogni dimensione del modulo da</w:t>
      </w:r>
      <w:r w:rsidR="00FF75A2" w:rsidRPr="003241D4">
        <w:rPr>
          <w:rFonts w:ascii="Verdana" w:hAnsi="Verdana"/>
          <w:sz w:val="18"/>
          <w:szCs w:val="18"/>
        </w:rPr>
        <w:t xml:space="preserve"> </w:t>
      </w:r>
      <w:r w:rsidR="00032FBC" w:rsidRPr="003241D4">
        <w:rPr>
          <w:rFonts w:ascii="Verdana" w:hAnsi="Verdana"/>
          <w:sz w:val="18"/>
          <w:szCs w:val="18"/>
        </w:rPr>
        <w:t>50 mm</w:t>
      </w:r>
      <w:r w:rsidR="00B42591" w:rsidRPr="003241D4">
        <w:rPr>
          <w:rFonts w:ascii="Verdana" w:hAnsi="Verdana"/>
          <w:sz w:val="18"/>
          <w:szCs w:val="18"/>
        </w:rPr>
        <w:t xml:space="preserve"> due pannelli non sono attivi </w:t>
      </w:r>
      <w:r w:rsidR="00B32BCB" w:rsidRPr="003241D4">
        <w:rPr>
          <w:rFonts w:ascii="Verdana" w:hAnsi="Verdana"/>
          <w:sz w:val="18"/>
          <w:szCs w:val="18"/>
        </w:rPr>
        <w:t xml:space="preserve">per permettere l’installazione </w:t>
      </w:r>
      <w:r w:rsidR="00B42591" w:rsidRPr="003241D4">
        <w:rPr>
          <w:rFonts w:ascii="Verdana" w:hAnsi="Verdana"/>
          <w:sz w:val="18"/>
          <w:szCs w:val="18"/>
        </w:rPr>
        <w:t>delle pareti divisorie, questi due pannelli vengono sostituiti con un pannello da 80 mm.</w:t>
      </w:r>
      <w:r w:rsidR="00CD6B8B" w:rsidRPr="003241D4">
        <w:rPr>
          <w:rFonts w:ascii="Verdana" w:hAnsi="Verdana"/>
          <w:sz w:val="18"/>
          <w:szCs w:val="18"/>
        </w:rPr>
        <w:t xml:space="preserve"> </w:t>
      </w:r>
      <w:r w:rsidR="00B42591" w:rsidRPr="003241D4">
        <w:rPr>
          <w:rFonts w:ascii="Verdana" w:hAnsi="Verdana"/>
          <w:sz w:val="18"/>
          <w:szCs w:val="18"/>
        </w:rPr>
        <w:t xml:space="preserve">Sotto questo pannello può essere </w:t>
      </w:r>
      <w:r w:rsidR="00B32BCB" w:rsidRPr="003241D4">
        <w:rPr>
          <w:rFonts w:ascii="Verdana" w:hAnsi="Verdana"/>
          <w:sz w:val="18"/>
          <w:szCs w:val="18"/>
        </w:rPr>
        <w:t xml:space="preserve">installata la parete divisoria </w:t>
      </w:r>
      <w:r w:rsidR="005325FD" w:rsidRPr="003241D4">
        <w:rPr>
          <w:rFonts w:ascii="Verdana" w:hAnsi="Verdana"/>
          <w:sz w:val="18"/>
          <w:szCs w:val="18"/>
        </w:rPr>
        <w:t xml:space="preserve">e sopra il pannello </w:t>
      </w:r>
      <w:r w:rsidR="00B42591" w:rsidRPr="003241D4">
        <w:rPr>
          <w:rFonts w:ascii="Verdana" w:hAnsi="Verdana"/>
          <w:sz w:val="18"/>
          <w:szCs w:val="18"/>
        </w:rPr>
        <w:t>può essere facilmente posizionata una barriera acustica verticale.</w:t>
      </w:r>
      <w:r w:rsidR="00CD6B8B" w:rsidRPr="003241D4">
        <w:rPr>
          <w:rFonts w:ascii="Verdana" w:hAnsi="Verdana"/>
          <w:sz w:val="18"/>
          <w:szCs w:val="18"/>
        </w:rPr>
        <w:t xml:space="preserve"> </w:t>
      </w:r>
      <w:r w:rsidR="00B42591" w:rsidRPr="003241D4">
        <w:rPr>
          <w:rFonts w:ascii="Verdana" w:hAnsi="Verdana"/>
          <w:sz w:val="18"/>
          <w:szCs w:val="18"/>
        </w:rPr>
        <w:t>In questo modo si può garantire l’uniformità del soffitto, pur mantenendo la possibilità di installare successivamente le pareti divisorie.</w:t>
      </w:r>
      <w:r w:rsidR="00CD6B8B" w:rsidRPr="003241D4">
        <w:rPr>
          <w:rFonts w:ascii="Verdana" w:hAnsi="Verdana"/>
          <w:sz w:val="18"/>
          <w:szCs w:val="18"/>
        </w:rPr>
        <w:t xml:space="preserve"> </w:t>
      </w:r>
      <w:r w:rsidR="00B42591" w:rsidRPr="003241D4">
        <w:rPr>
          <w:rFonts w:ascii="Verdana" w:hAnsi="Verdana"/>
          <w:sz w:val="18"/>
          <w:szCs w:val="18"/>
        </w:rPr>
        <w:t xml:space="preserve">La divisione tra il soffitto dell'ufficio (area attiva) e il soffitto del corridoio (area passiva) viene montato un profilo visibile, tipo </w:t>
      </w:r>
      <w:r w:rsidR="00B42591" w:rsidRPr="003241D4">
        <w:rPr>
          <w:rFonts w:ascii="Verdana" w:hAnsi="Verdana"/>
          <w:sz w:val="18"/>
          <w:szCs w:val="18"/>
        </w:rPr>
        <w:lastRenderedPageBreak/>
        <w:t>Omega (larghezza 100 mm). Sotto questo profilo divisorio vanno posizionati le pareti divisorie che separano il corridoio dalla zona uffici.</w:t>
      </w:r>
      <w:r w:rsidR="002E3C8A" w:rsidRPr="003241D4">
        <w:rPr>
          <w:rFonts w:ascii="Verdana" w:hAnsi="Verdana"/>
          <w:sz w:val="18"/>
          <w:szCs w:val="18"/>
        </w:rPr>
        <w:t xml:space="preserve"> </w:t>
      </w:r>
      <w:r w:rsidR="00775196" w:rsidRPr="003241D4">
        <w:rPr>
          <w:rFonts w:ascii="Verdana" w:hAnsi="Verdana"/>
          <w:sz w:val="18"/>
          <w:szCs w:val="18"/>
        </w:rPr>
        <w:t xml:space="preserve">Il pannello della barra a parete risulta invisibile e sarà sempre indipendente dal telaio di </w:t>
      </w:r>
      <w:r w:rsidR="00816CAB" w:rsidRPr="003241D4">
        <w:rPr>
          <w:rFonts w:ascii="Verdana" w:hAnsi="Verdana"/>
          <w:sz w:val="18"/>
          <w:szCs w:val="18"/>
        </w:rPr>
        <w:t>sospensione</w:t>
      </w:r>
      <w:r w:rsidR="00775196" w:rsidRPr="003241D4">
        <w:rPr>
          <w:rFonts w:ascii="Verdana" w:hAnsi="Verdana"/>
          <w:sz w:val="18"/>
          <w:szCs w:val="18"/>
        </w:rPr>
        <w:t xml:space="preserve"> primario e può essere semplicemente rimosso in qualsiasi momento con costi contenuti.</w:t>
      </w:r>
      <w:r w:rsidR="002E3C8A" w:rsidRPr="003241D4">
        <w:rPr>
          <w:rFonts w:ascii="Verdana" w:hAnsi="Verdana"/>
          <w:sz w:val="18"/>
          <w:szCs w:val="18"/>
        </w:rPr>
        <w:t xml:space="preserve"> </w:t>
      </w:r>
      <w:r w:rsidR="00775196" w:rsidRPr="003241D4">
        <w:rPr>
          <w:rFonts w:ascii="Verdana" w:hAnsi="Verdana"/>
          <w:sz w:val="18"/>
          <w:szCs w:val="18"/>
        </w:rPr>
        <w:t xml:space="preserve">Il </w:t>
      </w:r>
      <w:r w:rsidR="007D525D" w:rsidRPr="003241D4">
        <w:rPr>
          <w:rFonts w:ascii="Verdana" w:hAnsi="Verdana"/>
          <w:sz w:val="18"/>
          <w:szCs w:val="18"/>
        </w:rPr>
        <w:t>committente</w:t>
      </w:r>
      <w:r w:rsidR="00775196" w:rsidRPr="003241D4">
        <w:rPr>
          <w:rFonts w:ascii="Verdana" w:hAnsi="Verdana"/>
          <w:sz w:val="18"/>
          <w:szCs w:val="18"/>
        </w:rPr>
        <w:t xml:space="preserve"> può scegliere se vuole una guid</w:t>
      </w:r>
      <w:r w:rsidR="002E3C8A" w:rsidRPr="003241D4">
        <w:rPr>
          <w:rFonts w:ascii="Verdana" w:hAnsi="Verdana"/>
          <w:sz w:val="18"/>
          <w:szCs w:val="18"/>
        </w:rPr>
        <w:t>a a muro visibile o invisibile.</w:t>
      </w:r>
    </w:p>
    <w:p w14:paraId="5926D612" w14:textId="77777777" w:rsidR="00B9668A" w:rsidRPr="003241D4" w:rsidRDefault="00B9668A" w:rsidP="00C15D19">
      <w:pPr>
        <w:spacing w:line="360" w:lineRule="auto"/>
        <w:ind w:right="22"/>
        <w:jc w:val="both"/>
        <w:rPr>
          <w:rFonts w:ascii="Verdana" w:hAnsi="Verdana" w:cs="Arial"/>
          <w:sz w:val="18"/>
          <w:szCs w:val="18"/>
        </w:rPr>
      </w:pPr>
      <w:r w:rsidRPr="003241D4">
        <w:rPr>
          <w:rFonts w:ascii="Verdana" w:hAnsi="Verdana" w:cs="Arial"/>
          <w:sz w:val="18"/>
          <w:szCs w:val="18"/>
        </w:rPr>
        <w:t xml:space="preserve">Al fine di ottenere una finitura liscia e consentire le dilatazioni, </w:t>
      </w:r>
      <w:r w:rsidR="008E0EDB" w:rsidRPr="003241D4">
        <w:rPr>
          <w:rFonts w:ascii="Verdana" w:hAnsi="Verdana" w:cs="Arial"/>
          <w:sz w:val="18"/>
          <w:szCs w:val="18"/>
        </w:rPr>
        <w:t xml:space="preserve">sull'estremità dell’area del soffitto viene posizionato </w:t>
      </w:r>
      <w:r w:rsidRPr="003241D4">
        <w:rPr>
          <w:rFonts w:ascii="Verdana" w:hAnsi="Verdana" w:cs="Arial"/>
          <w:sz w:val="18"/>
          <w:szCs w:val="18"/>
        </w:rPr>
        <w:t>un profilo di finitura bordo a forma di L.</w:t>
      </w:r>
    </w:p>
    <w:p w14:paraId="5D512949" w14:textId="77777777" w:rsidR="00A727F6" w:rsidRPr="003241D4" w:rsidRDefault="00B9668A" w:rsidP="00C15D19">
      <w:pPr>
        <w:spacing w:line="360" w:lineRule="auto"/>
        <w:ind w:right="22"/>
        <w:jc w:val="both"/>
        <w:rPr>
          <w:rFonts w:ascii="Verdana" w:hAnsi="Verdana"/>
          <w:sz w:val="18"/>
          <w:szCs w:val="18"/>
        </w:rPr>
      </w:pPr>
      <w:r w:rsidRPr="003241D4">
        <w:rPr>
          <w:rFonts w:ascii="Verdana" w:hAnsi="Verdana" w:cs="Arial"/>
          <w:sz w:val="18"/>
          <w:szCs w:val="18"/>
        </w:rPr>
        <w:t xml:space="preserve">Qualora il soffitto </w:t>
      </w:r>
      <w:r w:rsidR="00836DFB" w:rsidRPr="003241D4">
        <w:rPr>
          <w:rFonts w:ascii="Verdana" w:hAnsi="Verdana" w:cs="Arial"/>
          <w:sz w:val="18"/>
          <w:szCs w:val="18"/>
        </w:rPr>
        <w:t>SAPP Ceiling</w:t>
      </w:r>
      <w:r w:rsidR="00836DFB" w:rsidRPr="003241D4">
        <w:rPr>
          <w:rFonts w:ascii="Verdana" w:hAnsi="Verdana"/>
          <w:sz w:val="18"/>
          <w:szCs w:val="18"/>
          <w:vertAlign w:val="superscript"/>
        </w:rPr>
        <w:t>®</w:t>
      </w:r>
      <w:r w:rsidR="00836DFB" w:rsidRPr="003241D4">
        <w:rPr>
          <w:rFonts w:ascii="Verdana" w:hAnsi="Verdana"/>
          <w:sz w:val="18"/>
          <w:szCs w:val="18"/>
        </w:rPr>
        <w:t xml:space="preserve"> </w:t>
      </w:r>
      <w:r w:rsidRPr="003241D4">
        <w:rPr>
          <w:rFonts w:ascii="Verdana" w:hAnsi="Verdana" w:cs="Arial"/>
          <w:sz w:val="18"/>
          <w:szCs w:val="18"/>
        </w:rPr>
        <w:t>venga installato ad isola, vie</w:t>
      </w:r>
      <w:r w:rsidR="00FF75A2" w:rsidRPr="003241D4">
        <w:rPr>
          <w:rFonts w:ascii="Verdana" w:hAnsi="Verdana" w:cs="Arial"/>
          <w:sz w:val="18"/>
          <w:szCs w:val="18"/>
        </w:rPr>
        <w:t xml:space="preserve">ne posizionato perimetralmente </w:t>
      </w:r>
      <w:r w:rsidRPr="003241D4">
        <w:rPr>
          <w:rFonts w:ascii="Verdana" w:hAnsi="Verdana" w:cs="Arial"/>
          <w:sz w:val="18"/>
          <w:szCs w:val="18"/>
        </w:rPr>
        <w:t>un telaio/profilo di finitura in acciaio che conferisce stabilità al sistema.</w:t>
      </w:r>
    </w:p>
    <w:p w14:paraId="61D64105" w14:textId="77777777" w:rsidR="00B9668A" w:rsidRPr="003241D4" w:rsidRDefault="00B9668A" w:rsidP="00C15D19">
      <w:pPr>
        <w:spacing w:line="360" w:lineRule="auto"/>
        <w:ind w:right="23"/>
        <w:jc w:val="both"/>
        <w:rPr>
          <w:rFonts w:ascii="Verdana" w:hAnsi="Verdana"/>
          <w:sz w:val="18"/>
          <w:szCs w:val="18"/>
        </w:rPr>
      </w:pPr>
      <w:r w:rsidRPr="003241D4">
        <w:rPr>
          <w:rFonts w:ascii="Verdana" w:hAnsi="Verdana"/>
          <w:sz w:val="18"/>
          <w:szCs w:val="18"/>
        </w:rPr>
        <w:t xml:space="preserve">Un modulo </w:t>
      </w:r>
      <w:r w:rsidR="006E5202" w:rsidRPr="003241D4">
        <w:rPr>
          <w:rFonts w:ascii="Verdana" w:hAnsi="Verdana"/>
          <w:sz w:val="18"/>
          <w:szCs w:val="18"/>
        </w:rPr>
        <w:t xml:space="preserve">da 50 mm </w:t>
      </w:r>
      <w:r w:rsidR="00662575" w:rsidRPr="003241D4">
        <w:rPr>
          <w:rFonts w:ascii="Verdana" w:hAnsi="Verdana"/>
          <w:sz w:val="18"/>
          <w:szCs w:val="18"/>
        </w:rPr>
        <w:t xml:space="preserve">è </w:t>
      </w:r>
      <w:r w:rsidR="00032FBC" w:rsidRPr="003241D4">
        <w:rPr>
          <w:rFonts w:ascii="Verdana" w:hAnsi="Verdana"/>
          <w:sz w:val="18"/>
          <w:szCs w:val="18"/>
        </w:rPr>
        <w:t>attivato da un tubo</w:t>
      </w:r>
      <w:r w:rsidRPr="003241D4">
        <w:rPr>
          <w:rFonts w:ascii="Verdana" w:hAnsi="Verdana"/>
          <w:sz w:val="18"/>
          <w:szCs w:val="18"/>
        </w:rPr>
        <w:t>. Per garantire un alto rendimento, il contatto tra i tubi di conduzione con il pannello avviene tramite una particolare clips opportunamente studiata, SAPP-Clips</w:t>
      </w:r>
      <w:r w:rsidRPr="003241D4">
        <w:rPr>
          <w:rFonts w:ascii="Verdana" w:hAnsi="Verdana"/>
          <w:sz w:val="18"/>
          <w:szCs w:val="18"/>
          <w:vertAlign w:val="superscript"/>
        </w:rPr>
        <w:t>®</w:t>
      </w:r>
      <w:r w:rsidRPr="003241D4">
        <w:rPr>
          <w:rFonts w:ascii="Verdana" w:hAnsi="Verdana"/>
          <w:sz w:val="18"/>
          <w:szCs w:val="18"/>
        </w:rPr>
        <w:t>, così da assicurare una c</w:t>
      </w:r>
      <w:r w:rsidR="00FF75A2" w:rsidRPr="003241D4">
        <w:rPr>
          <w:rFonts w:ascii="Verdana" w:hAnsi="Verdana"/>
          <w:sz w:val="18"/>
          <w:szCs w:val="18"/>
        </w:rPr>
        <w:t>ostante e omogenea distribuzione</w:t>
      </w:r>
      <w:r w:rsidRPr="003241D4">
        <w:rPr>
          <w:rFonts w:ascii="Verdana" w:hAnsi="Verdana"/>
          <w:sz w:val="18"/>
          <w:szCs w:val="18"/>
        </w:rPr>
        <w:t xml:space="preserve"> della temperatura su tutti i pannelli, ottenendo una elevata efficienza.</w:t>
      </w:r>
    </w:p>
    <w:p w14:paraId="658C40C8" w14:textId="623D7A39" w:rsidR="00614BFA" w:rsidRPr="003241D4" w:rsidRDefault="008D0224" w:rsidP="00C15D19">
      <w:pPr>
        <w:spacing w:line="360" w:lineRule="auto"/>
        <w:ind w:right="23"/>
        <w:jc w:val="both"/>
        <w:rPr>
          <w:rFonts w:ascii="Verdana" w:hAnsi="Verdana"/>
          <w:sz w:val="18"/>
          <w:szCs w:val="18"/>
        </w:rPr>
      </w:pPr>
      <w:r w:rsidRPr="003241D4">
        <w:rPr>
          <w:rFonts w:ascii="Verdana" w:hAnsi="Verdana"/>
          <w:sz w:val="18"/>
          <w:szCs w:val="18"/>
        </w:rPr>
        <w:t>La t</w:t>
      </w:r>
      <w:r w:rsidR="00614BFA" w:rsidRPr="003241D4">
        <w:rPr>
          <w:rFonts w:ascii="Verdana" w:hAnsi="Verdana"/>
          <w:sz w:val="18"/>
          <w:szCs w:val="18"/>
        </w:rPr>
        <w:t>ubazione</w:t>
      </w:r>
      <w:r w:rsidRPr="003241D4">
        <w:rPr>
          <w:rFonts w:ascii="Verdana" w:hAnsi="Verdana"/>
          <w:sz w:val="18"/>
          <w:szCs w:val="18"/>
        </w:rPr>
        <w:t xml:space="preserve"> è</w:t>
      </w:r>
      <w:r w:rsidR="00614BFA" w:rsidRPr="003241D4">
        <w:rPr>
          <w:rFonts w:ascii="Verdana" w:hAnsi="Verdana"/>
          <w:sz w:val="18"/>
          <w:szCs w:val="18"/>
        </w:rPr>
        <w:t xml:space="preserve"> a 5 strati in polietilene resistente alle alte temperature PE-RT del tipo II MidiX Plus (ISO 22391, ISO 24033, ISO 21003, EN 1264, BRL 5602, BRL 5607, DIN 4726) con barriera all'ossigeno in EVOH nello spessore del tubo e permeabilità al vapore inferiore a 0,32 mg/(m²d) a 40°C ed a 3,6 mg/(m²d) a 80°C testata secondo ISO 17455 in corrispondenza alle normative BRL 5602 - BRL 5607 e DIN 4726, EN1264-4, con, caratteristiche di resistenza meccanica che lo rendono appartenente alle classi 4 a 6 bar (ISO 10508) per una vita prevista di 50 anni; diametro 14 x 1,25 mm (UNI EN 1264-4); posabile a freddo; fornito in rotoli d’opportuno metraggio, stoccati in modo che la tubazione sia protetta dalla radiazione solare; sulla tubazione sono riportate le caratteristiche meccaniche e i metri di svolgimento e i residui del rotolo. Certificazione di sistema KOMO K 86478 e DIN CERTCO 3V399 PE-RT.</w:t>
      </w:r>
    </w:p>
    <w:p w14:paraId="509E3616" w14:textId="77777777" w:rsidR="00614BFA" w:rsidRPr="003241D4" w:rsidRDefault="00614BFA" w:rsidP="00C15D19">
      <w:pPr>
        <w:spacing w:line="360" w:lineRule="auto"/>
        <w:ind w:right="23"/>
        <w:jc w:val="both"/>
        <w:rPr>
          <w:rFonts w:ascii="Verdana" w:hAnsi="Verdana"/>
          <w:sz w:val="18"/>
          <w:szCs w:val="18"/>
        </w:rPr>
      </w:pPr>
      <w:r w:rsidRPr="003241D4">
        <w:rPr>
          <w:rFonts w:ascii="Verdana" w:hAnsi="Verdana"/>
          <w:sz w:val="18"/>
          <w:szCs w:val="18"/>
        </w:rPr>
        <w:t>Pressione massima di esercizio: 6 Bar</w:t>
      </w:r>
    </w:p>
    <w:p w14:paraId="608DC661" w14:textId="709D4FF9" w:rsidR="00614BFA" w:rsidRPr="003241D4" w:rsidRDefault="00614BFA" w:rsidP="00C15D19">
      <w:pPr>
        <w:spacing w:line="360" w:lineRule="auto"/>
        <w:ind w:right="23"/>
        <w:jc w:val="both"/>
        <w:rPr>
          <w:rFonts w:ascii="Verdana" w:hAnsi="Verdana"/>
          <w:sz w:val="18"/>
          <w:szCs w:val="18"/>
        </w:rPr>
      </w:pPr>
      <w:r w:rsidRPr="003241D4">
        <w:rPr>
          <w:rFonts w:ascii="Verdana" w:hAnsi="Verdana"/>
          <w:sz w:val="18"/>
          <w:szCs w:val="18"/>
        </w:rPr>
        <w:t>Assenza di connessioni, raccorderia e flessibili all’interno de</w:t>
      </w:r>
      <w:r w:rsidR="008D0224" w:rsidRPr="003241D4">
        <w:rPr>
          <w:rFonts w:ascii="Verdana" w:hAnsi="Verdana"/>
          <w:sz w:val="18"/>
          <w:szCs w:val="18"/>
        </w:rPr>
        <w:t>i locali</w:t>
      </w:r>
    </w:p>
    <w:p w14:paraId="3FCBD58C" w14:textId="14AAC341" w:rsidR="002E3C8A" w:rsidRPr="003241D4" w:rsidRDefault="002E3C8A" w:rsidP="00C15D19">
      <w:pPr>
        <w:overflowPunct/>
        <w:spacing w:line="360" w:lineRule="auto"/>
        <w:contextualSpacing/>
        <w:jc w:val="both"/>
        <w:textAlignment w:val="auto"/>
        <w:rPr>
          <w:rFonts w:ascii="Verdana" w:hAnsi="Verdana"/>
          <w:sz w:val="18"/>
          <w:szCs w:val="18"/>
        </w:rPr>
      </w:pPr>
      <w:r w:rsidRPr="003241D4">
        <w:rPr>
          <w:rFonts w:ascii="Verdana" w:hAnsi="Verdana" w:cs="Verdana"/>
          <w:sz w:val="18"/>
          <w:szCs w:val="18"/>
        </w:rPr>
        <w:t xml:space="preserve">Resa </w:t>
      </w:r>
      <w:r w:rsidR="008D0224" w:rsidRPr="003241D4">
        <w:rPr>
          <w:rFonts w:ascii="Verdana" w:hAnsi="Verdana" w:cs="Verdana"/>
          <w:sz w:val="18"/>
          <w:szCs w:val="18"/>
        </w:rPr>
        <w:t>in raffrescamento</w:t>
      </w:r>
      <w:r w:rsidRPr="003241D4">
        <w:rPr>
          <w:rFonts w:ascii="Verdana" w:hAnsi="Verdana" w:cs="Verdana"/>
          <w:sz w:val="18"/>
          <w:szCs w:val="18"/>
        </w:rPr>
        <w:t xml:space="preserve"> </w:t>
      </w:r>
      <w:r w:rsidRPr="003241D4">
        <w:rPr>
          <w:rFonts w:ascii="Verdana" w:hAnsi="Verdana"/>
          <w:b/>
          <w:sz w:val="18"/>
          <w:szCs w:val="18"/>
        </w:rPr>
        <w:t>103 W/m²</w:t>
      </w:r>
      <w:r w:rsidRPr="003241D4">
        <w:rPr>
          <w:rFonts w:ascii="Verdana" w:hAnsi="Verdana"/>
          <w:sz w:val="18"/>
          <w:szCs w:val="18"/>
        </w:rPr>
        <w:t xml:space="preserve"> - </w:t>
      </w:r>
      <w:r w:rsidR="00D87081" w:rsidRPr="003241D4">
        <w:rPr>
          <w:rFonts w:ascii="Verdana" w:hAnsi="Verdana"/>
          <w:sz w:val="18"/>
          <w:szCs w:val="18"/>
        </w:rPr>
        <w:t>ΔT</w:t>
      </w:r>
      <w:r w:rsidRPr="003241D4">
        <w:rPr>
          <w:rFonts w:ascii="Verdana" w:hAnsi="Verdana"/>
          <w:sz w:val="18"/>
          <w:szCs w:val="18"/>
        </w:rPr>
        <w:t>10K</w:t>
      </w:r>
      <w:r w:rsidR="00D87081" w:rsidRPr="003241D4">
        <w:rPr>
          <w:rFonts w:ascii="Verdana" w:hAnsi="Verdana"/>
          <w:sz w:val="18"/>
          <w:szCs w:val="18"/>
        </w:rPr>
        <w:t xml:space="preserve"> tra la temp</w:t>
      </w:r>
      <w:r w:rsidRPr="003241D4">
        <w:rPr>
          <w:rFonts w:ascii="Verdana" w:hAnsi="Verdana"/>
          <w:sz w:val="18"/>
          <w:szCs w:val="18"/>
        </w:rPr>
        <w:t>.</w:t>
      </w:r>
      <w:r w:rsidR="00D87081" w:rsidRPr="003241D4">
        <w:rPr>
          <w:rFonts w:ascii="Verdana" w:hAnsi="Verdana"/>
          <w:sz w:val="18"/>
          <w:szCs w:val="18"/>
        </w:rPr>
        <w:t xml:space="preserve"> ambiente e la temp</w:t>
      </w:r>
      <w:r w:rsidRPr="003241D4">
        <w:rPr>
          <w:rFonts w:ascii="Verdana" w:hAnsi="Verdana"/>
          <w:sz w:val="18"/>
          <w:szCs w:val="18"/>
        </w:rPr>
        <w:t>.</w:t>
      </w:r>
      <w:r w:rsidR="00D87081" w:rsidRPr="003241D4">
        <w:rPr>
          <w:rFonts w:ascii="Verdana" w:hAnsi="Verdana"/>
          <w:sz w:val="18"/>
          <w:szCs w:val="18"/>
        </w:rPr>
        <w:t xml:space="preserve"> media dell’acqua</w:t>
      </w:r>
    </w:p>
    <w:p w14:paraId="5F78F15B" w14:textId="1043C951" w:rsidR="00D87081" w:rsidRPr="003241D4" w:rsidRDefault="002E3C8A" w:rsidP="00C15D19">
      <w:pPr>
        <w:overflowPunct/>
        <w:spacing w:line="360" w:lineRule="auto"/>
        <w:contextualSpacing/>
        <w:jc w:val="both"/>
        <w:textAlignment w:val="auto"/>
        <w:rPr>
          <w:rFonts w:ascii="Verdana" w:hAnsi="Verdana"/>
          <w:sz w:val="18"/>
          <w:szCs w:val="18"/>
        </w:rPr>
      </w:pPr>
      <w:r w:rsidRPr="003241D4">
        <w:rPr>
          <w:rFonts w:ascii="Verdana" w:hAnsi="Verdana" w:cs="Verdana"/>
          <w:sz w:val="18"/>
          <w:szCs w:val="18"/>
        </w:rPr>
        <w:t xml:space="preserve">Resa in raffrescamento </w:t>
      </w:r>
      <w:r w:rsidRPr="003241D4">
        <w:rPr>
          <w:rFonts w:ascii="Verdana" w:hAnsi="Verdana"/>
          <w:b/>
          <w:sz w:val="18"/>
          <w:szCs w:val="18"/>
        </w:rPr>
        <w:t>125 W/m²</w:t>
      </w:r>
      <w:r w:rsidRPr="003241D4">
        <w:rPr>
          <w:rFonts w:ascii="Verdana" w:hAnsi="Verdana"/>
          <w:sz w:val="18"/>
          <w:szCs w:val="18"/>
        </w:rPr>
        <w:t xml:space="preserve"> - ΔT12K tra la temp. ambiente e la temp. media dell’acqua </w:t>
      </w:r>
      <w:r w:rsidR="00D87081" w:rsidRPr="003241D4">
        <w:rPr>
          <w:rFonts w:ascii="Verdana" w:hAnsi="Verdana"/>
          <w:sz w:val="18"/>
          <w:szCs w:val="18"/>
        </w:rPr>
        <w:t xml:space="preserve"> </w:t>
      </w:r>
    </w:p>
    <w:p w14:paraId="658801CC" w14:textId="05B58693" w:rsidR="00A039E4" w:rsidRPr="003241D4" w:rsidRDefault="00A039E4" w:rsidP="00C15D19">
      <w:pPr>
        <w:spacing w:line="360" w:lineRule="auto"/>
        <w:ind w:right="23"/>
        <w:jc w:val="both"/>
        <w:rPr>
          <w:rFonts w:ascii="Verdana" w:hAnsi="Verdana"/>
          <w:sz w:val="18"/>
          <w:szCs w:val="18"/>
        </w:rPr>
      </w:pPr>
      <w:r w:rsidRPr="003241D4">
        <w:rPr>
          <w:rFonts w:ascii="Verdana" w:hAnsi="Verdana"/>
          <w:sz w:val="18"/>
          <w:szCs w:val="18"/>
        </w:rPr>
        <w:t xml:space="preserve">Le rese in </w:t>
      </w:r>
      <w:r w:rsidR="007B4D25" w:rsidRPr="003241D4">
        <w:rPr>
          <w:rFonts w:ascii="Verdana" w:hAnsi="Verdana"/>
          <w:sz w:val="18"/>
          <w:szCs w:val="18"/>
        </w:rPr>
        <w:t>raffrescamento</w:t>
      </w:r>
      <w:r w:rsidRPr="003241D4">
        <w:rPr>
          <w:rFonts w:ascii="Verdana" w:hAnsi="Verdana"/>
          <w:sz w:val="18"/>
          <w:szCs w:val="18"/>
        </w:rPr>
        <w:t xml:space="preserve"> sono state</w:t>
      </w:r>
      <w:r w:rsidR="008B3EE9" w:rsidRPr="003241D4">
        <w:rPr>
          <w:rFonts w:ascii="Verdana" w:hAnsi="Verdana"/>
          <w:sz w:val="18"/>
          <w:szCs w:val="18"/>
        </w:rPr>
        <w:t xml:space="preserve"> ottenute secondo la norma EN 1</w:t>
      </w:r>
      <w:r w:rsidRPr="003241D4">
        <w:rPr>
          <w:rFonts w:ascii="Verdana" w:hAnsi="Verdana"/>
          <w:sz w:val="18"/>
          <w:szCs w:val="18"/>
        </w:rPr>
        <w:t>4240 in laboratorio di prova abilitato. Le prove sono state eseguite in condizioni statiche (camera climatica).</w:t>
      </w:r>
    </w:p>
    <w:p w14:paraId="28304F9D" w14:textId="255D5D1B" w:rsidR="002E3C8A" w:rsidRPr="003241D4" w:rsidRDefault="002E3C8A" w:rsidP="00C15D19">
      <w:pPr>
        <w:overflowPunct/>
        <w:spacing w:line="360" w:lineRule="auto"/>
        <w:contextualSpacing/>
        <w:jc w:val="both"/>
        <w:textAlignment w:val="auto"/>
        <w:rPr>
          <w:rFonts w:ascii="Verdana" w:hAnsi="Verdana"/>
          <w:sz w:val="18"/>
          <w:szCs w:val="18"/>
        </w:rPr>
      </w:pPr>
      <w:r w:rsidRPr="003241D4">
        <w:rPr>
          <w:rFonts w:ascii="Verdana" w:hAnsi="Verdana" w:cs="Verdana"/>
          <w:sz w:val="18"/>
          <w:szCs w:val="18"/>
        </w:rPr>
        <w:t xml:space="preserve">Resa in riscaldamento </w:t>
      </w:r>
      <w:r w:rsidRPr="003241D4">
        <w:rPr>
          <w:rFonts w:ascii="Verdana" w:hAnsi="Verdana"/>
          <w:b/>
          <w:sz w:val="18"/>
          <w:szCs w:val="18"/>
        </w:rPr>
        <w:t>71 W/m²</w:t>
      </w:r>
      <w:r w:rsidRPr="003241D4">
        <w:rPr>
          <w:rFonts w:ascii="Verdana" w:hAnsi="Verdana"/>
          <w:sz w:val="18"/>
          <w:szCs w:val="18"/>
        </w:rPr>
        <w:t xml:space="preserve"> - ΔT15K tra la temp. ambiente e la temp. media dell’acqua </w:t>
      </w:r>
    </w:p>
    <w:p w14:paraId="59335830" w14:textId="77777777" w:rsidR="00A039E4" w:rsidRPr="003241D4" w:rsidRDefault="00A039E4" w:rsidP="00C15D19">
      <w:pPr>
        <w:spacing w:line="360" w:lineRule="auto"/>
        <w:ind w:right="23"/>
        <w:jc w:val="both"/>
        <w:rPr>
          <w:rFonts w:ascii="Verdana" w:hAnsi="Verdana"/>
          <w:sz w:val="18"/>
          <w:szCs w:val="18"/>
        </w:rPr>
      </w:pPr>
      <w:r w:rsidRPr="003241D4">
        <w:rPr>
          <w:rFonts w:ascii="Verdana" w:hAnsi="Verdana"/>
          <w:sz w:val="18"/>
          <w:szCs w:val="18"/>
        </w:rPr>
        <w:t>Le rese in riscaldamento sono state ottenute secondo la norma EN 14037 in laboratorio di prova abilitato. Le prove sono state eseguite in condizioni statiche (camera climatica).</w:t>
      </w:r>
    </w:p>
    <w:p w14:paraId="1CFB9156" w14:textId="0D66ACE3" w:rsidR="001627D4" w:rsidRPr="003241D4" w:rsidRDefault="00D87081" w:rsidP="00C15D19">
      <w:pPr>
        <w:spacing w:line="360" w:lineRule="auto"/>
        <w:ind w:right="23"/>
        <w:jc w:val="both"/>
        <w:rPr>
          <w:rFonts w:ascii="Verdana" w:hAnsi="Verdana"/>
          <w:sz w:val="18"/>
          <w:szCs w:val="18"/>
        </w:rPr>
      </w:pPr>
      <w:r w:rsidRPr="003241D4">
        <w:rPr>
          <w:rFonts w:ascii="Verdana" w:hAnsi="Verdana"/>
          <w:sz w:val="18"/>
          <w:szCs w:val="18"/>
        </w:rPr>
        <w:t>L’effettiva potenza del soffitto radiante dipende dal numero di pannelli attivi (percentuale di copertura) e le temperature di mandata/ritorno.</w:t>
      </w:r>
    </w:p>
    <w:p w14:paraId="6E3AAE1F" w14:textId="5BD878BF" w:rsidR="00032FBC" w:rsidRPr="003241D4" w:rsidRDefault="00032FBC" w:rsidP="00C15D19">
      <w:pPr>
        <w:spacing w:line="360" w:lineRule="auto"/>
        <w:ind w:right="23"/>
        <w:jc w:val="both"/>
        <w:rPr>
          <w:rFonts w:ascii="Verdana" w:hAnsi="Verdana"/>
          <w:sz w:val="18"/>
          <w:szCs w:val="18"/>
        </w:rPr>
      </w:pPr>
      <w:r w:rsidRPr="003241D4">
        <w:rPr>
          <w:rFonts w:ascii="Verdana" w:hAnsi="Verdana"/>
          <w:sz w:val="18"/>
          <w:szCs w:val="18"/>
        </w:rPr>
        <w:t>Per migliorare l'assorbimento acustico, un pannello isolante in lana minerale sigillata, (imbustata in u</w:t>
      </w:r>
      <w:r w:rsidR="002E3C8A" w:rsidRPr="003241D4">
        <w:rPr>
          <w:rFonts w:ascii="Verdana" w:hAnsi="Verdana"/>
          <w:sz w:val="18"/>
          <w:szCs w:val="18"/>
        </w:rPr>
        <w:t>n foglio in PE), spessore 25 mm, è installato a c</w:t>
      </w:r>
      <w:r w:rsidRPr="003241D4">
        <w:rPr>
          <w:rFonts w:ascii="Verdana" w:hAnsi="Verdana"/>
          <w:sz w:val="18"/>
          <w:szCs w:val="18"/>
        </w:rPr>
        <w:t xml:space="preserve">a. 80 mm sopra il soffitto. </w:t>
      </w:r>
      <w:r w:rsidR="00395ACC" w:rsidRPr="003241D4">
        <w:rPr>
          <w:rFonts w:ascii="Verdana" w:hAnsi="Verdana"/>
          <w:sz w:val="18"/>
          <w:szCs w:val="18"/>
        </w:rPr>
        <w:t>L’indice di assorbimento acustico</w:t>
      </w:r>
      <w:r w:rsidRPr="003241D4">
        <w:rPr>
          <w:rFonts w:ascii="Verdana" w:hAnsi="Verdana"/>
          <w:sz w:val="18"/>
          <w:szCs w:val="18"/>
        </w:rPr>
        <w:t xml:space="preserve"> </w:t>
      </w:r>
      <w:r w:rsidR="00395ACC" w:rsidRPr="003241D4">
        <w:rPr>
          <w:rFonts w:ascii="Verdana" w:hAnsi="Verdana"/>
          <w:sz w:val="18"/>
          <w:szCs w:val="18"/>
        </w:rPr>
        <w:t>α</w:t>
      </w:r>
      <w:r w:rsidR="00395ACC" w:rsidRPr="003241D4">
        <w:rPr>
          <w:rFonts w:ascii="Verdana" w:hAnsi="Verdana"/>
          <w:sz w:val="18"/>
          <w:szCs w:val="18"/>
          <w:vertAlign w:val="subscript"/>
        </w:rPr>
        <w:t>W</w:t>
      </w:r>
      <w:r w:rsidR="00395ACC" w:rsidRPr="003241D4">
        <w:rPr>
          <w:rFonts w:ascii="Verdana" w:hAnsi="Verdana"/>
          <w:sz w:val="18"/>
          <w:szCs w:val="18"/>
        </w:rPr>
        <w:t xml:space="preserve"> del sistema è 0,85.</w:t>
      </w:r>
    </w:p>
    <w:p w14:paraId="7D3F5E5C" w14:textId="5E93A2B2" w:rsidR="00A124B7" w:rsidRPr="003241D4" w:rsidRDefault="00A124B7" w:rsidP="00C15D19">
      <w:pPr>
        <w:spacing w:line="360" w:lineRule="auto"/>
        <w:ind w:right="23"/>
        <w:jc w:val="both"/>
        <w:rPr>
          <w:rFonts w:ascii="Verdana" w:hAnsi="Verdana"/>
          <w:sz w:val="18"/>
          <w:szCs w:val="18"/>
        </w:rPr>
      </w:pPr>
      <w:r w:rsidRPr="003241D4">
        <w:rPr>
          <w:rFonts w:ascii="Verdana" w:hAnsi="Verdana"/>
          <w:sz w:val="18"/>
          <w:szCs w:val="18"/>
        </w:rPr>
        <w:t xml:space="preserve">Tutte le aree di passaggio saranno fornite di un soffitto metallico con proprietà acustiche, installato nei corridoi tra gli uffici.  Tale soffitto sarà costituito da pannelli in acciaio, con fori da </w:t>
      </w:r>
      <w:r w:rsidR="00562B1E" w:rsidRPr="003241D4">
        <w:rPr>
          <w:rFonts w:ascii="Verdana" w:hAnsi="Verdana"/>
          <w:sz w:val="18"/>
          <w:szCs w:val="18"/>
        </w:rPr>
        <w:t xml:space="preserve">Ø 2 mm e dimensioni appropriate rispetto alla modularità adottata per la parte attiva. </w:t>
      </w:r>
      <w:r w:rsidRPr="003241D4">
        <w:rPr>
          <w:rFonts w:ascii="Verdana" w:hAnsi="Verdana"/>
          <w:sz w:val="18"/>
          <w:szCs w:val="18"/>
        </w:rPr>
        <w:t>Il colore potrà essere lo stesso del soffitto attivo. In alternativa è possibile scegliere un soffitto</w:t>
      </w:r>
      <w:r w:rsidR="00F92CD8" w:rsidRPr="003241D4">
        <w:rPr>
          <w:rFonts w:ascii="Verdana" w:hAnsi="Verdana"/>
          <w:sz w:val="18"/>
          <w:szCs w:val="18"/>
        </w:rPr>
        <w:t xml:space="preserve"> esteticamente uguale alla parte attiva, </w:t>
      </w:r>
      <w:r w:rsidRPr="003241D4">
        <w:rPr>
          <w:rFonts w:ascii="Verdana" w:hAnsi="Verdana"/>
          <w:sz w:val="18"/>
          <w:szCs w:val="18"/>
        </w:rPr>
        <w:t>con pannelli in acciaio</w:t>
      </w:r>
      <w:r w:rsidR="00D05D91" w:rsidRPr="003241D4">
        <w:rPr>
          <w:rFonts w:ascii="Verdana" w:hAnsi="Verdana"/>
          <w:sz w:val="18"/>
          <w:szCs w:val="18"/>
        </w:rPr>
        <w:t xml:space="preserve"> </w:t>
      </w:r>
      <w:r w:rsidR="00F92CD8" w:rsidRPr="003241D4">
        <w:rPr>
          <w:rFonts w:ascii="Verdana" w:hAnsi="Verdana"/>
          <w:sz w:val="18"/>
          <w:szCs w:val="18"/>
        </w:rPr>
        <w:t>e</w:t>
      </w:r>
      <w:r w:rsidR="002E3C8A" w:rsidRPr="003241D4">
        <w:rPr>
          <w:rFonts w:ascii="Verdana" w:hAnsi="Verdana"/>
          <w:sz w:val="18"/>
          <w:szCs w:val="18"/>
        </w:rPr>
        <w:t xml:space="preserve"> giunti aperti.</w:t>
      </w:r>
    </w:p>
    <w:p w14:paraId="29B66A9A" w14:textId="12F17A90" w:rsidR="000E3B39" w:rsidRPr="003241D4" w:rsidRDefault="000E3B39" w:rsidP="00C15D19">
      <w:pPr>
        <w:spacing w:line="360" w:lineRule="auto"/>
        <w:ind w:right="23"/>
        <w:jc w:val="both"/>
        <w:rPr>
          <w:rFonts w:ascii="Verdana" w:hAnsi="Verdana"/>
          <w:sz w:val="18"/>
          <w:szCs w:val="18"/>
        </w:rPr>
      </w:pPr>
      <w:r w:rsidRPr="003241D4">
        <w:rPr>
          <w:rFonts w:ascii="Verdana" w:hAnsi="Verdana"/>
          <w:sz w:val="18"/>
          <w:szCs w:val="18"/>
        </w:rPr>
        <w:t>Colori standard RAL 9010 (bianco); RAL 9016 (bianco); RAL 9005 (nero); RAL 9006 (grigio)</w:t>
      </w:r>
    </w:p>
    <w:p w14:paraId="38CD52D7" w14:textId="3D2B3FFB" w:rsidR="00775196" w:rsidRPr="003241D4" w:rsidRDefault="00775196" w:rsidP="00C15D19">
      <w:pPr>
        <w:spacing w:line="360" w:lineRule="auto"/>
        <w:ind w:right="23"/>
        <w:jc w:val="both"/>
        <w:rPr>
          <w:rFonts w:ascii="Verdana" w:hAnsi="Verdana"/>
          <w:sz w:val="18"/>
          <w:szCs w:val="18"/>
        </w:rPr>
      </w:pPr>
      <w:r w:rsidRPr="003241D4">
        <w:rPr>
          <w:rFonts w:ascii="Verdana" w:hAnsi="Verdana"/>
          <w:sz w:val="18"/>
          <w:szCs w:val="18"/>
        </w:rPr>
        <w:t>In quanto fornitori e installatori del sistema a soffitto Eurotherm S</w:t>
      </w:r>
      <w:r w:rsidR="002E3C8A" w:rsidRPr="003241D4">
        <w:rPr>
          <w:rFonts w:ascii="Verdana" w:hAnsi="Verdana"/>
          <w:sz w:val="18"/>
          <w:szCs w:val="18"/>
        </w:rPr>
        <w:t>.</w:t>
      </w:r>
      <w:r w:rsidRPr="003241D4">
        <w:rPr>
          <w:rFonts w:ascii="Verdana" w:hAnsi="Verdana"/>
          <w:sz w:val="18"/>
          <w:szCs w:val="18"/>
        </w:rPr>
        <w:t>p</w:t>
      </w:r>
      <w:r w:rsidR="002E3C8A" w:rsidRPr="003241D4">
        <w:rPr>
          <w:rFonts w:ascii="Verdana" w:hAnsi="Verdana"/>
          <w:sz w:val="18"/>
          <w:szCs w:val="18"/>
        </w:rPr>
        <w:t>.</w:t>
      </w:r>
      <w:r w:rsidRPr="003241D4">
        <w:rPr>
          <w:rFonts w:ascii="Verdana" w:hAnsi="Verdana"/>
          <w:sz w:val="18"/>
          <w:szCs w:val="18"/>
        </w:rPr>
        <w:t>A</w:t>
      </w:r>
      <w:r w:rsidR="002E3C8A" w:rsidRPr="003241D4">
        <w:rPr>
          <w:rFonts w:ascii="Verdana" w:hAnsi="Verdana"/>
          <w:sz w:val="18"/>
          <w:szCs w:val="18"/>
        </w:rPr>
        <w:t>.</w:t>
      </w:r>
      <w:r w:rsidRPr="003241D4">
        <w:rPr>
          <w:rFonts w:ascii="Verdana" w:hAnsi="Verdana"/>
          <w:sz w:val="18"/>
          <w:szCs w:val="18"/>
        </w:rPr>
        <w:t xml:space="preserve"> fornisce le seguenti garanzie:</w:t>
      </w:r>
    </w:p>
    <w:p w14:paraId="37EFD38E" w14:textId="3CD193AC" w:rsidR="00775196" w:rsidRPr="003241D4" w:rsidRDefault="00775196" w:rsidP="00C15D19">
      <w:pPr>
        <w:spacing w:line="360" w:lineRule="auto"/>
        <w:ind w:right="23"/>
        <w:jc w:val="both"/>
        <w:rPr>
          <w:rFonts w:ascii="Verdana" w:hAnsi="Verdana"/>
          <w:sz w:val="18"/>
          <w:szCs w:val="18"/>
        </w:rPr>
      </w:pPr>
      <w:r w:rsidRPr="003241D4">
        <w:rPr>
          <w:rFonts w:ascii="Verdana" w:hAnsi="Verdana"/>
          <w:sz w:val="18"/>
          <w:szCs w:val="18"/>
        </w:rPr>
        <w:t xml:space="preserve">Garanzia </w:t>
      </w:r>
      <w:r w:rsidR="001A18D8" w:rsidRPr="003241D4">
        <w:rPr>
          <w:rFonts w:ascii="Verdana" w:hAnsi="Verdana"/>
          <w:sz w:val="18"/>
          <w:szCs w:val="18"/>
        </w:rPr>
        <w:t xml:space="preserve">certificazione </w:t>
      </w:r>
      <w:r w:rsidRPr="003241D4">
        <w:rPr>
          <w:rFonts w:ascii="Verdana" w:hAnsi="Verdana"/>
          <w:sz w:val="18"/>
          <w:szCs w:val="18"/>
        </w:rPr>
        <w:t>sull’assorbimento acustico.</w:t>
      </w:r>
    </w:p>
    <w:p w14:paraId="0693B313" w14:textId="1DC8B72C" w:rsidR="00775196" w:rsidRPr="003241D4" w:rsidRDefault="00775196" w:rsidP="00C15D19">
      <w:pPr>
        <w:spacing w:line="360" w:lineRule="auto"/>
        <w:ind w:right="23"/>
        <w:jc w:val="both"/>
        <w:rPr>
          <w:rFonts w:ascii="Verdana" w:hAnsi="Verdana"/>
          <w:sz w:val="18"/>
          <w:szCs w:val="18"/>
        </w:rPr>
      </w:pPr>
      <w:r w:rsidRPr="003241D4">
        <w:rPr>
          <w:rFonts w:ascii="Verdana" w:hAnsi="Verdana"/>
          <w:sz w:val="18"/>
          <w:szCs w:val="18"/>
        </w:rPr>
        <w:t xml:space="preserve">Garanzie </w:t>
      </w:r>
      <w:r w:rsidR="001A18D8" w:rsidRPr="003241D4">
        <w:rPr>
          <w:rFonts w:ascii="Verdana" w:hAnsi="Verdana"/>
          <w:sz w:val="18"/>
          <w:szCs w:val="18"/>
        </w:rPr>
        <w:t>di</w:t>
      </w:r>
      <w:r w:rsidRPr="003241D4">
        <w:rPr>
          <w:rFonts w:ascii="Verdana" w:hAnsi="Verdana"/>
          <w:sz w:val="18"/>
          <w:szCs w:val="18"/>
        </w:rPr>
        <w:t xml:space="preserve"> prestazioni del soffitto</w:t>
      </w:r>
      <w:r w:rsidR="001A18D8" w:rsidRPr="003241D4">
        <w:rPr>
          <w:rFonts w:ascii="Verdana" w:hAnsi="Verdana"/>
          <w:sz w:val="18"/>
          <w:szCs w:val="18"/>
        </w:rPr>
        <w:t xml:space="preserve"> secondo certificazioni</w:t>
      </w:r>
      <w:r w:rsidRPr="003241D4">
        <w:rPr>
          <w:rFonts w:ascii="Verdana" w:hAnsi="Verdana"/>
          <w:sz w:val="18"/>
          <w:szCs w:val="18"/>
        </w:rPr>
        <w:t>.</w:t>
      </w:r>
    </w:p>
    <w:p w14:paraId="6B499420" w14:textId="53AE05B6" w:rsidR="001A18D8" w:rsidRPr="003241D4" w:rsidRDefault="001A18D8" w:rsidP="00C15D19">
      <w:pPr>
        <w:spacing w:line="360" w:lineRule="auto"/>
        <w:ind w:right="23"/>
        <w:jc w:val="both"/>
        <w:rPr>
          <w:rFonts w:ascii="Verdana" w:hAnsi="Verdana"/>
          <w:sz w:val="18"/>
          <w:szCs w:val="18"/>
        </w:rPr>
      </w:pPr>
      <w:r w:rsidRPr="003241D4">
        <w:rPr>
          <w:rFonts w:ascii="Verdana" w:hAnsi="Verdana"/>
          <w:sz w:val="18"/>
          <w:szCs w:val="18"/>
        </w:rPr>
        <w:lastRenderedPageBreak/>
        <w:t>Garanzia sulla struttura di sostegno.</w:t>
      </w:r>
    </w:p>
    <w:p w14:paraId="00C4809F" w14:textId="6E31391C" w:rsidR="00775196" w:rsidRPr="003241D4" w:rsidRDefault="00775196" w:rsidP="00C15D19">
      <w:pPr>
        <w:spacing w:line="360" w:lineRule="auto"/>
        <w:ind w:right="23"/>
        <w:jc w:val="both"/>
        <w:rPr>
          <w:rFonts w:ascii="Verdana" w:hAnsi="Verdana"/>
          <w:sz w:val="18"/>
          <w:szCs w:val="18"/>
        </w:rPr>
      </w:pPr>
      <w:r w:rsidRPr="003241D4">
        <w:rPr>
          <w:rFonts w:ascii="Verdana" w:hAnsi="Verdana"/>
          <w:sz w:val="18"/>
          <w:szCs w:val="18"/>
        </w:rPr>
        <w:t>Garanzia di tenuta all’acqua: data l’assenza di connessioni nella zona uffici e data l’alta</w:t>
      </w:r>
      <w:r w:rsidR="002E3C8A" w:rsidRPr="003241D4">
        <w:rPr>
          <w:rFonts w:ascii="Verdana" w:hAnsi="Verdana"/>
          <w:sz w:val="18"/>
          <w:szCs w:val="18"/>
        </w:rPr>
        <w:t xml:space="preserve"> qualità della tubazione MidiX-</w:t>
      </w:r>
      <w:r w:rsidRPr="003241D4">
        <w:rPr>
          <w:rFonts w:ascii="Verdana" w:hAnsi="Verdana"/>
          <w:sz w:val="18"/>
          <w:szCs w:val="18"/>
        </w:rPr>
        <w:t xml:space="preserve">Plus, Eurotherm garantisce la totale tenuta all’acqua del soffitto. La tenuta all’acqua delle line di alimentazione deve essere </w:t>
      </w:r>
      <w:r w:rsidR="005F2453" w:rsidRPr="003241D4">
        <w:rPr>
          <w:rFonts w:ascii="Verdana" w:hAnsi="Verdana"/>
          <w:sz w:val="18"/>
          <w:szCs w:val="18"/>
        </w:rPr>
        <w:t>garantita dalla ditta idraulica (HVAC)</w:t>
      </w:r>
    </w:p>
    <w:p w14:paraId="0D8703F2" w14:textId="10AB4B06" w:rsidR="00775196" w:rsidRPr="003241D4" w:rsidRDefault="00775196" w:rsidP="00C15D19">
      <w:pPr>
        <w:spacing w:line="360" w:lineRule="auto"/>
        <w:ind w:right="23"/>
        <w:jc w:val="both"/>
        <w:rPr>
          <w:rFonts w:ascii="Verdana" w:hAnsi="Verdana"/>
          <w:sz w:val="18"/>
          <w:szCs w:val="18"/>
        </w:rPr>
      </w:pPr>
      <w:r w:rsidRPr="003241D4">
        <w:rPr>
          <w:rFonts w:ascii="Verdana" w:hAnsi="Verdana"/>
          <w:sz w:val="18"/>
          <w:szCs w:val="18"/>
        </w:rPr>
        <w:t>Garanzia sulla barriera di ossigeno della tubazione MidiX-Plus</w:t>
      </w:r>
      <w:r w:rsidR="00DE0DBB" w:rsidRPr="003241D4">
        <w:rPr>
          <w:rFonts w:ascii="Verdana" w:hAnsi="Verdana"/>
          <w:sz w:val="18"/>
          <w:szCs w:val="18"/>
        </w:rPr>
        <w:t>.</w:t>
      </w:r>
    </w:p>
    <w:p w14:paraId="0FAF0687" w14:textId="6448F7E9" w:rsidR="00775196" w:rsidRPr="003241D4" w:rsidRDefault="00775196" w:rsidP="00C15D19">
      <w:pPr>
        <w:spacing w:line="360" w:lineRule="auto"/>
        <w:ind w:right="23"/>
        <w:jc w:val="both"/>
        <w:rPr>
          <w:rFonts w:ascii="Verdana" w:hAnsi="Verdana"/>
          <w:sz w:val="18"/>
          <w:szCs w:val="18"/>
        </w:rPr>
      </w:pPr>
      <w:r w:rsidRPr="003241D4">
        <w:rPr>
          <w:rFonts w:ascii="Verdana" w:hAnsi="Verdana"/>
          <w:sz w:val="18"/>
          <w:szCs w:val="18"/>
        </w:rPr>
        <w:t>Garanzia delle caratteristiche meccaniche della tubazione MidiX-Plus</w:t>
      </w:r>
      <w:r w:rsidR="00DE0DBB" w:rsidRPr="003241D4">
        <w:rPr>
          <w:rFonts w:ascii="Verdana" w:hAnsi="Verdana"/>
          <w:sz w:val="18"/>
          <w:szCs w:val="18"/>
        </w:rPr>
        <w:t>.</w:t>
      </w:r>
    </w:p>
    <w:p w14:paraId="2C3AC4A3" w14:textId="67C60C10" w:rsidR="00E12FE5" w:rsidRPr="00C26EF1" w:rsidRDefault="00775196" w:rsidP="00C15D19">
      <w:pPr>
        <w:spacing w:line="360" w:lineRule="auto"/>
        <w:ind w:right="23"/>
        <w:jc w:val="both"/>
        <w:rPr>
          <w:rFonts w:ascii="Verdana" w:hAnsi="Verdana"/>
          <w:sz w:val="18"/>
          <w:szCs w:val="18"/>
        </w:rPr>
      </w:pPr>
      <w:r w:rsidRPr="003241D4">
        <w:rPr>
          <w:rFonts w:ascii="Verdana" w:hAnsi="Verdana"/>
          <w:sz w:val="18"/>
          <w:szCs w:val="18"/>
        </w:rPr>
        <w:t xml:space="preserve">Garanzia </w:t>
      </w:r>
      <w:r w:rsidR="00646AA9" w:rsidRPr="003241D4">
        <w:rPr>
          <w:rFonts w:ascii="Verdana" w:hAnsi="Verdana"/>
          <w:sz w:val="18"/>
          <w:szCs w:val="18"/>
        </w:rPr>
        <w:t>ITAS</w:t>
      </w:r>
      <w:r w:rsidRPr="003241D4">
        <w:rPr>
          <w:rFonts w:ascii="Verdana" w:hAnsi="Verdana"/>
          <w:sz w:val="18"/>
          <w:szCs w:val="18"/>
        </w:rPr>
        <w:t xml:space="preserve"> a vita </w:t>
      </w:r>
      <w:r w:rsidR="00CD2D6B" w:rsidRPr="003241D4">
        <w:rPr>
          <w:rFonts w:ascii="Verdana" w:hAnsi="Verdana"/>
          <w:sz w:val="18"/>
          <w:szCs w:val="18"/>
        </w:rPr>
        <w:t>per</w:t>
      </w:r>
      <w:r w:rsidRPr="003241D4">
        <w:rPr>
          <w:rFonts w:ascii="Verdana" w:hAnsi="Verdana"/>
          <w:sz w:val="18"/>
          <w:szCs w:val="18"/>
        </w:rPr>
        <w:t xml:space="preserve"> danni derivati da difetto di prodotto</w:t>
      </w:r>
      <w:r w:rsidR="002E3C8A" w:rsidRPr="003241D4">
        <w:rPr>
          <w:rFonts w:ascii="Verdana" w:hAnsi="Verdana"/>
          <w:sz w:val="18"/>
          <w:szCs w:val="18"/>
        </w:rPr>
        <w:t>.</w:t>
      </w:r>
    </w:p>
    <w:sectPr w:rsidR="00E12FE5" w:rsidRPr="00C26EF1" w:rsidSect="007B0667">
      <w:type w:val="continuous"/>
      <w:pgSz w:w="11907" w:h="16840"/>
      <w:pgMar w:top="1134" w:right="851" w:bottom="1134" w:left="1276"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BC56" w14:textId="77777777" w:rsidR="00A72F2C" w:rsidRDefault="00A72F2C">
      <w:r>
        <w:separator/>
      </w:r>
    </w:p>
  </w:endnote>
  <w:endnote w:type="continuationSeparator" w:id="0">
    <w:p w14:paraId="4AA1A5F2" w14:textId="77777777" w:rsidR="00A72F2C" w:rsidRDefault="00A7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BCA4" w14:textId="77777777" w:rsidR="00A72F2C" w:rsidRDefault="00A72F2C">
      <w:r>
        <w:separator/>
      </w:r>
    </w:p>
  </w:footnote>
  <w:footnote w:type="continuationSeparator" w:id="0">
    <w:p w14:paraId="3295EEA5" w14:textId="77777777" w:rsidR="00A72F2C" w:rsidRDefault="00A7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7AF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37EDD"/>
    <w:multiLevelType w:val="singleLevel"/>
    <w:tmpl w:val="0413000F"/>
    <w:lvl w:ilvl="0">
      <w:start w:val="1"/>
      <w:numFmt w:val="decimal"/>
      <w:lvlText w:val="%1."/>
      <w:lvlJc w:val="left"/>
      <w:pPr>
        <w:tabs>
          <w:tab w:val="num" w:pos="720"/>
        </w:tabs>
        <w:ind w:left="720" w:hanging="360"/>
      </w:pPr>
      <w:rPr>
        <w:rFonts w:hint="default"/>
      </w:rPr>
    </w:lvl>
  </w:abstractNum>
  <w:abstractNum w:abstractNumId="2" w15:restartNumberingAfterBreak="0">
    <w:nsid w:val="0BD344F8"/>
    <w:multiLevelType w:val="singleLevel"/>
    <w:tmpl w:val="228CA94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2847EBC"/>
    <w:multiLevelType w:val="multilevel"/>
    <w:tmpl w:val="64CA134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0439DB"/>
    <w:multiLevelType w:val="hybridMultilevel"/>
    <w:tmpl w:val="9FAE4B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B542CCF"/>
    <w:multiLevelType w:val="hybridMultilevel"/>
    <w:tmpl w:val="65CA8A28"/>
    <w:lvl w:ilvl="0" w:tplc="7FDA5614">
      <w:start w:val="1"/>
      <w:numFmt w:val="bullet"/>
      <w:lvlText w:val="-"/>
      <w:lvlJc w:val="left"/>
      <w:pPr>
        <w:tabs>
          <w:tab w:val="num" w:pos="720"/>
        </w:tabs>
        <w:ind w:left="720" w:hanging="360"/>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4023C"/>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272D31D7"/>
    <w:multiLevelType w:val="multilevel"/>
    <w:tmpl w:val="64CA134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BD43EF"/>
    <w:multiLevelType w:val="multilevel"/>
    <w:tmpl w:val="64CA134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336C5B"/>
    <w:multiLevelType w:val="multilevel"/>
    <w:tmpl w:val="ED0A29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30881F51"/>
    <w:multiLevelType w:val="singleLevel"/>
    <w:tmpl w:val="228CA948"/>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302108D"/>
    <w:multiLevelType w:val="hybridMultilevel"/>
    <w:tmpl w:val="62B89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5439F8"/>
    <w:multiLevelType w:val="hybridMultilevel"/>
    <w:tmpl w:val="A058E23E"/>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847E7C"/>
    <w:multiLevelType w:val="hybridMultilevel"/>
    <w:tmpl w:val="CF1CF416"/>
    <w:lvl w:ilvl="0" w:tplc="B83C5596">
      <w:start w:val="1"/>
      <w:numFmt w:val="bullet"/>
      <w:lvlText w:val=""/>
      <w:lvlJc w:val="left"/>
      <w:pPr>
        <w:tabs>
          <w:tab w:val="num" w:pos="360"/>
        </w:tabs>
        <w:ind w:left="360" w:hanging="360"/>
      </w:pPr>
      <w:rPr>
        <w:rFonts w:ascii="Wingdings" w:hAnsi="Wingdings" w:hint="default"/>
        <w:color w:val="FF0000"/>
        <w:sz w:val="20"/>
        <w:szCs w:val="2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FC5B93"/>
    <w:multiLevelType w:val="hybridMultilevel"/>
    <w:tmpl w:val="E230FEA2"/>
    <w:lvl w:ilvl="0" w:tplc="7FDA5614">
      <w:start w:val="1"/>
      <w:numFmt w:val="bullet"/>
      <w:lvlText w:val="-"/>
      <w:lvlJc w:val="left"/>
      <w:pPr>
        <w:tabs>
          <w:tab w:val="num" w:pos="720"/>
        </w:tabs>
        <w:ind w:left="720" w:hanging="360"/>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866D32"/>
    <w:multiLevelType w:val="hybridMultilevel"/>
    <w:tmpl w:val="DC9CD1C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670964"/>
    <w:multiLevelType w:val="multilevel"/>
    <w:tmpl w:val="E9785CC4"/>
    <w:lvl w:ilvl="0">
      <w:start w:val="3"/>
      <w:numFmt w:val="decimal"/>
      <w:lvlText w:val="%1a"/>
      <w:lvlJc w:val="left"/>
      <w:pPr>
        <w:ind w:left="400" w:hanging="400"/>
      </w:pPr>
      <w:rPr>
        <w:rFonts w:hint="default"/>
      </w:rPr>
    </w:lvl>
    <w:lvl w:ilvl="1">
      <w:start w:val="3"/>
      <w:numFmt w:val="decimal"/>
      <w:lvlText w:val="%1a%2."/>
      <w:lvlJc w:val="left"/>
      <w:pPr>
        <w:ind w:left="720" w:hanging="720"/>
      </w:pPr>
      <w:rPr>
        <w:rFonts w:hint="default"/>
      </w:rPr>
    </w:lvl>
    <w:lvl w:ilvl="2">
      <w:start w:val="1"/>
      <w:numFmt w:val="decimal"/>
      <w:lvlText w:val="%1a%2.%3."/>
      <w:lvlJc w:val="left"/>
      <w:pPr>
        <w:ind w:left="1080" w:hanging="1080"/>
      </w:pPr>
      <w:rPr>
        <w:rFonts w:hint="default"/>
      </w:rPr>
    </w:lvl>
    <w:lvl w:ilvl="3">
      <w:start w:val="1"/>
      <w:numFmt w:val="decimal"/>
      <w:lvlText w:val="%1a%2.%3.%4."/>
      <w:lvlJc w:val="left"/>
      <w:pPr>
        <w:ind w:left="1080" w:hanging="1080"/>
      </w:pPr>
      <w:rPr>
        <w:rFonts w:hint="default"/>
      </w:rPr>
    </w:lvl>
    <w:lvl w:ilvl="4">
      <w:start w:val="1"/>
      <w:numFmt w:val="decimal"/>
      <w:lvlText w:val="%1a%2.%3.%4.%5."/>
      <w:lvlJc w:val="left"/>
      <w:pPr>
        <w:ind w:left="1440" w:hanging="1440"/>
      </w:pPr>
      <w:rPr>
        <w:rFonts w:hint="default"/>
      </w:rPr>
    </w:lvl>
    <w:lvl w:ilvl="5">
      <w:start w:val="1"/>
      <w:numFmt w:val="decimal"/>
      <w:lvlText w:val="%1a%2.%3.%4.%5.%6."/>
      <w:lvlJc w:val="left"/>
      <w:pPr>
        <w:ind w:left="1800" w:hanging="1800"/>
      </w:pPr>
      <w:rPr>
        <w:rFonts w:hint="default"/>
      </w:rPr>
    </w:lvl>
    <w:lvl w:ilvl="6">
      <w:start w:val="1"/>
      <w:numFmt w:val="decimal"/>
      <w:lvlText w:val="%1a%2.%3.%4.%5.%6.%7."/>
      <w:lvlJc w:val="left"/>
      <w:pPr>
        <w:ind w:left="1800" w:hanging="1800"/>
      </w:pPr>
      <w:rPr>
        <w:rFonts w:hint="default"/>
      </w:rPr>
    </w:lvl>
    <w:lvl w:ilvl="7">
      <w:start w:val="1"/>
      <w:numFmt w:val="decimal"/>
      <w:lvlText w:val="%1a%2.%3.%4.%5.%6.%7.%8."/>
      <w:lvlJc w:val="left"/>
      <w:pPr>
        <w:ind w:left="2160" w:hanging="2160"/>
      </w:pPr>
      <w:rPr>
        <w:rFonts w:hint="default"/>
      </w:rPr>
    </w:lvl>
    <w:lvl w:ilvl="8">
      <w:start w:val="1"/>
      <w:numFmt w:val="decimal"/>
      <w:lvlText w:val="%1a%2.%3.%4.%5.%6.%7.%8.%9."/>
      <w:lvlJc w:val="left"/>
      <w:pPr>
        <w:ind w:left="2520" w:hanging="2520"/>
      </w:pPr>
      <w:rPr>
        <w:rFonts w:hint="default"/>
      </w:rPr>
    </w:lvl>
  </w:abstractNum>
  <w:abstractNum w:abstractNumId="17" w15:restartNumberingAfterBreak="0">
    <w:nsid w:val="4B3B6D5C"/>
    <w:multiLevelType w:val="hybridMultilevel"/>
    <w:tmpl w:val="3E8CF3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BB4107"/>
    <w:multiLevelType w:val="hybridMultilevel"/>
    <w:tmpl w:val="0ED8E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1A5870"/>
    <w:multiLevelType w:val="hybridMultilevel"/>
    <w:tmpl w:val="36C0EA64"/>
    <w:lvl w:ilvl="0" w:tplc="48F44D6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313E00"/>
    <w:multiLevelType w:val="hybridMultilevel"/>
    <w:tmpl w:val="9BBE7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772CDF"/>
    <w:multiLevelType w:val="hybridMultilevel"/>
    <w:tmpl w:val="3856BC7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586271A0"/>
    <w:multiLevelType w:val="hybridMultilevel"/>
    <w:tmpl w:val="37A4139E"/>
    <w:lvl w:ilvl="0" w:tplc="0413000F">
      <w:start w:val="1"/>
      <w:numFmt w:val="decimal"/>
      <w:lvlText w:val="%1."/>
      <w:lvlJc w:val="left"/>
      <w:pPr>
        <w:tabs>
          <w:tab w:val="num" w:pos="720"/>
        </w:tabs>
        <w:ind w:left="720" w:hanging="360"/>
      </w:pPr>
    </w:lvl>
    <w:lvl w:ilvl="1" w:tplc="127C9B18">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19B41AC"/>
    <w:multiLevelType w:val="multilevel"/>
    <w:tmpl w:val="64CA134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4F26A7E"/>
    <w:multiLevelType w:val="multilevel"/>
    <w:tmpl w:val="4FA02F94"/>
    <w:lvl w:ilvl="0">
      <w:start w:val="3"/>
      <w:numFmt w:val="decimal"/>
      <w:lvlText w:val="%1."/>
      <w:lvlJc w:val="left"/>
      <w:pPr>
        <w:ind w:left="400" w:hanging="400"/>
      </w:pPr>
      <w:rPr>
        <w:rFonts w:hint="default"/>
        <w:u w:val="single"/>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6C86274E"/>
    <w:multiLevelType w:val="hybridMultilevel"/>
    <w:tmpl w:val="12FCBB3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6D077B2A"/>
    <w:multiLevelType w:val="multilevel"/>
    <w:tmpl w:val="DC9CD1C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7206B6"/>
    <w:multiLevelType w:val="multilevel"/>
    <w:tmpl w:val="64CA134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4E4D61"/>
    <w:multiLevelType w:val="hybridMultilevel"/>
    <w:tmpl w:val="125A59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3482255">
    <w:abstractNumId w:val="15"/>
  </w:num>
  <w:num w:numId="2" w16cid:durableId="2032144609">
    <w:abstractNumId w:val="26"/>
  </w:num>
  <w:num w:numId="3" w16cid:durableId="1975943031">
    <w:abstractNumId w:val="13"/>
  </w:num>
  <w:num w:numId="4" w16cid:durableId="1656373600">
    <w:abstractNumId w:val="6"/>
    <w:lvlOverride w:ilvl="0">
      <w:startOverride w:val="1"/>
    </w:lvlOverride>
  </w:num>
  <w:num w:numId="5" w16cid:durableId="1844665642">
    <w:abstractNumId w:val="20"/>
  </w:num>
  <w:num w:numId="6" w16cid:durableId="106969599">
    <w:abstractNumId w:val="2"/>
  </w:num>
  <w:num w:numId="7" w16cid:durableId="780033324">
    <w:abstractNumId w:val="1"/>
  </w:num>
  <w:num w:numId="8" w16cid:durableId="575827418">
    <w:abstractNumId w:val="9"/>
  </w:num>
  <w:num w:numId="9" w16cid:durableId="804660104">
    <w:abstractNumId w:val="22"/>
  </w:num>
  <w:num w:numId="10" w16cid:durableId="1207790838">
    <w:abstractNumId w:val="7"/>
  </w:num>
  <w:num w:numId="11" w16cid:durableId="328364017">
    <w:abstractNumId w:val="14"/>
  </w:num>
  <w:num w:numId="12" w16cid:durableId="1116409239">
    <w:abstractNumId w:val="5"/>
  </w:num>
  <w:num w:numId="13" w16cid:durableId="490870773">
    <w:abstractNumId w:val="10"/>
  </w:num>
  <w:num w:numId="14" w16cid:durableId="214513081">
    <w:abstractNumId w:val="25"/>
  </w:num>
  <w:num w:numId="15" w16cid:durableId="843055980">
    <w:abstractNumId w:val="21"/>
  </w:num>
  <w:num w:numId="16" w16cid:durableId="1253316198">
    <w:abstractNumId w:val="18"/>
  </w:num>
  <w:num w:numId="17" w16cid:durableId="1800999735">
    <w:abstractNumId w:val="0"/>
  </w:num>
  <w:num w:numId="18" w16cid:durableId="996687829">
    <w:abstractNumId w:val="17"/>
  </w:num>
  <w:num w:numId="19" w16cid:durableId="83042329">
    <w:abstractNumId w:val="24"/>
  </w:num>
  <w:num w:numId="20" w16cid:durableId="968777299">
    <w:abstractNumId w:val="16"/>
  </w:num>
  <w:num w:numId="21" w16cid:durableId="912548846">
    <w:abstractNumId w:val="8"/>
  </w:num>
  <w:num w:numId="22" w16cid:durableId="440953181">
    <w:abstractNumId w:val="27"/>
  </w:num>
  <w:num w:numId="23" w16cid:durableId="1704095262">
    <w:abstractNumId w:val="23"/>
  </w:num>
  <w:num w:numId="24" w16cid:durableId="1213350612">
    <w:abstractNumId w:val="3"/>
  </w:num>
  <w:num w:numId="25" w16cid:durableId="1994406654">
    <w:abstractNumId w:val="12"/>
  </w:num>
  <w:num w:numId="26" w16cid:durableId="1278486927">
    <w:abstractNumId w:val="11"/>
  </w:num>
  <w:num w:numId="27" w16cid:durableId="629942156">
    <w:abstractNumId w:val="4"/>
  </w:num>
  <w:num w:numId="28" w16cid:durableId="310209367">
    <w:abstractNumId w:val="28"/>
  </w:num>
  <w:num w:numId="29" w16cid:durableId="16702115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77"/>
    <w:rsid w:val="00001618"/>
    <w:rsid w:val="00007415"/>
    <w:rsid w:val="00011BC2"/>
    <w:rsid w:val="00012C73"/>
    <w:rsid w:val="00017090"/>
    <w:rsid w:val="000222C2"/>
    <w:rsid w:val="00022FDA"/>
    <w:rsid w:val="00032FBC"/>
    <w:rsid w:val="00034A09"/>
    <w:rsid w:val="000435AA"/>
    <w:rsid w:val="000437BE"/>
    <w:rsid w:val="000465BB"/>
    <w:rsid w:val="00046AD7"/>
    <w:rsid w:val="000563C2"/>
    <w:rsid w:val="00062A5E"/>
    <w:rsid w:val="00074A3E"/>
    <w:rsid w:val="00076731"/>
    <w:rsid w:val="000964E9"/>
    <w:rsid w:val="000A6FB6"/>
    <w:rsid w:val="000B2AFA"/>
    <w:rsid w:val="000B6A49"/>
    <w:rsid w:val="000C4BDE"/>
    <w:rsid w:val="000D602E"/>
    <w:rsid w:val="000E0A77"/>
    <w:rsid w:val="000E2389"/>
    <w:rsid w:val="000E3B39"/>
    <w:rsid w:val="001172C9"/>
    <w:rsid w:val="00137292"/>
    <w:rsid w:val="00155239"/>
    <w:rsid w:val="001627D4"/>
    <w:rsid w:val="001825F1"/>
    <w:rsid w:val="001853FD"/>
    <w:rsid w:val="00191CD9"/>
    <w:rsid w:val="001A16D6"/>
    <w:rsid w:val="001A18D8"/>
    <w:rsid w:val="001A43B0"/>
    <w:rsid w:val="001B5986"/>
    <w:rsid w:val="001C2163"/>
    <w:rsid w:val="001C63C5"/>
    <w:rsid w:val="001D2D63"/>
    <w:rsid w:val="001D7AE4"/>
    <w:rsid w:val="001E05E5"/>
    <w:rsid w:val="001E56F0"/>
    <w:rsid w:val="001E5731"/>
    <w:rsid w:val="001F151F"/>
    <w:rsid w:val="001F406E"/>
    <w:rsid w:val="002034C5"/>
    <w:rsid w:val="00206FD6"/>
    <w:rsid w:val="0021003F"/>
    <w:rsid w:val="00223AD9"/>
    <w:rsid w:val="00225226"/>
    <w:rsid w:val="0023374F"/>
    <w:rsid w:val="00235B2B"/>
    <w:rsid w:val="002370A3"/>
    <w:rsid w:val="002515F7"/>
    <w:rsid w:val="00251B8E"/>
    <w:rsid w:val="002639F7"/>
    <w:rsid w:val="00265D46"/>
    <w:rsid w:val="0027302B"/>
    <w:rsid w:val="00273B68"/>
    <w:rsid w:val="00274127"/>
    <w:rsid w:val="00281C59"/>
    <w:rsid w:val="002A0853"/>
    <w:rsid w:val="002A488A"/>
    <w:rsid w:val="002B4C89"/>
    <w:rsid w:val="002C7A8C"/>
    <w:rsid w:val="002D0C4F"/>
    <w:rsid w:val="002E3C8A"/>
    <w:rsid w:val="003241D4"/>
    <w:rsid w:val="003317BE"/>
    <w:rsid w:val="00336433"/>
    <w:rsid w:val="00343EAE"/>
    <w:rsid w:val="00347192"/>
    <w:rsid w:val="00352F89"/>
    <w:rsid w:val="00355DA9"/>
    <w:rsid w:val="00366346"/>
    <w:rsid w:val="00367623"/>
    <w:rsid w:val="0037116F"/>
    <w:rsid w:val="0038058A"/>
    <w:rsid w:val="00381B6E"/>
    <w:rsid w:val="00387FA4"/>
    <w:rsid w:val="00390357"/>
    <w:rsid w:val="003915D9"/>
    <w:rsid w:val="00393590"/>
    <w:rsid w:val="003946A3"/>
    <w:rsid w:val="00395780"/>
    <w:rsid w:val="00395ACC"/>
    <w:rsid w:val="00395DA3"/>
    <w:rsid w:val="003B49C3"/>
    <w:rsid w:val="003B4F81"/>
    <w:rsid w:val="003C0F1E"/>
    <w:rsid w:val="003C1108"/>
    <w:rsid w:val="003D225F"/>
    <w:rsid w:val="003E107A"/>
    <w:rsid w:val="003E2A06"/>
    <w:rsid w:val="003E38C5"/>
    <w:rsid w:val="003E7888"/>
    <w:rsid w:val="003F7B3D"/>
    <w:rsid w:val="00401DD6"/>
    <w:rsid w:val="00401FBB"/>
    <w:rsid w:val="00410CD8"/>
    <w:rsid w:val="004149EE"/>
    <w:rsid w:val="00414BA8"/>
    <w:rsid w:val="00425C8F"/>
    <w:rsid w:val="00430DA8"/>
    <w:rsid w:val="00450AFC"/>
    <w:rsid w:val="00450DB4"/>
    <w:rsid w:val="004549B2"/>
    <w:rsid w:val="00456E80"/>
    <w:rsid w:val="0045768A"/>
    <w:rsid w:val="00482E9D"/>
    <w:rsid w:val="00485F70"/>
    <w:rsid w:val="004A2677"/>
    <w:rsid w:val="004B6236"/>
    <w:rsid w:val="004C0A1C"/>
    <w:rsid w:val="004C1A70"/>
    <w:rsid w:val="004C2A0B"/>
    <w:rsid w:val="004D452F"/>
    <w:rsid w:val="004E3106"/>
    <w:rsid w:val="004E3E7F"/>
    <w:rsid w:val="004F67C8"/>
    <w:rsid w:val="004F7F68"/>
    <w:rsid w:val="005035C6"/>
    <w:rsid w:val="005141C7"/>
    <w:rsid w:val="005214E1"/>
    <w:rsid w:val="005325FD"/>
    <w:rsid w:val="005329CD"/>
    <w:rsid w:val="00540A92"/>
    <w:rsid w:val="0054159C"/>
    <w:rsid w:val="00542B2D"/>
    <w:rsid w:val="0054378C"/>
    <w:rsid w:val="00554954"/>
    <w:rsid w:val="0055763F"/>
    <w:rsid w:val="00562B1E"/>
    <w:rsid w:val="00563FD3"/>
    <w:rsid w:val="00564B36"/>
    <w:rsid w:val="00567F4B"/>
    <w:rsid w:val="005704F0"/>
    <w:rsid w:val="00572BD6"/>
    <w:rsid w:val="005737E6"/>
    <w:rsid w:val="005740C1"/>
    <w:rsid w:val="0057674E"/>
    <w:rsid w:val="00581F48"/>
    <w:rsid w:val="005A2372"/>
    <w:rsid w:val="005A239C"/>
    <w:rsid w:val="005B177A"/>
    <w:rsid w:val="005C0DA1"/>
    <w:rsid w:val="005D2A5B"/>
    <w:rsid w:val="005D3981"/>
    <w:rsid w:val="005D471A"/>
    <w:rsid w:val="005F2453"/>
    <w:rsid w:val="00600284"/>
    <w:rsid w:val="00613907"/>
    <w:rsid w:val="00614BFA"/>
    <w:rsid w:val="006208BB"/>
    <w:rsid w:val="006314EB"/>
    <w:rsid w:val="00640D1B"/>
    <w:rsid w:val="0064253A"/>
    <w:rsid w:val="00643649"/>
    <w:rsid w:val="00646AA9"/>
    <w:rsid w:val="00655BE0"/>
    <w:rsid w:val="00655CF7"/>
    <w:rsid w:val="00657D0A"/>
    <w:rsid w:val="00662575"/>
    <w:rsid w:val="00672D37"/>
    <w:rsid w:val="00674362"/>
    <w:rsid w:val="006B0B27"/>
    <w:rsid w:val="006B105C"/>
    <w:rsid w:val="006B3EEF"/>
    <w:rsid w:val="006B5149"/>
    <w:rsid w:val="006C380F"/>
    <w:rsid w:val="006C55A2"/>
    <w:rsid w:val="006E004C"/>
    <w:rsid w:val="006E0565"/>
    <w:rsid w:val="006E5202"/>
    <w:rsid w:val="006F259C"/>
    <w:rsid w:val="00721CE4"/>
    <w:rsid w:val="007326DA"/>
    <w:rsid w:val="007344A4"/>
    <w:rsid w:val="007351FD"/>
    <w:rsid w:val="00740228"/>
    <w:rsid w:val="00752A0A"/>
    <w:rsid w:val="00753C41"/>
    <w:rsid w:val="00756CC2"/>
    <w:rsid w:val="0076703F"/>
    <w:rsid w:val="00771E9F"/>
    <w:rsid w:val="00772C18"/>
    <w:rsid w:val="00775196"/>
    <w:rsid w:val="00783215"/>
    <w:rsid w:val="0078619C"/>
    <w:rsid w:val="00786EBB"/>
    <w:rsid w:val="00795C72"/>
    <w:rsid w:val="007A57FC"/>
    <w:rsid w:val="007B0667"/>
    <w:rsid w:val="007B4D25"/>
    <w:rsid w:val="007B63E3"/>
    <w:rsid w:val="007B745E"/>
    <w:rsid w:val="007D525D"/>
    <w:rsid w:val="00800E25"/>
    <w:rsid w:val="00802F0B"/>
    <w:rsid w:val="008071F3"/>
    <w:rsid w:val="008078C9"/>
    <w:rsid w:val="00810D21"/>
    <w:rsid w:val="00816CAB"/>
    <w:rsid w:val="00820C53"/>
    <w:rsid w:val="00822E9A"/>
    <w:rsid w:val="008236E8"/>
    <w:rsid w:val="008262E0"/>
    <w:rsid w:val="0082649A"/>
    <w:rsid w:val="008273D4"/>
    <w:rsid w:val="00827518"/>
    <w:rsid w:val="00827619"/>
    <w:rsid w:val="0083017C"/>
    <w:rsid w:val="0083171F"/>
    <w:rsid w:val="00836DFB"/>
    <w:rsid w:val="00852729"/>
    <w:rsid w:val="00853E0B"/>
    <w:rsid w:val="008552E3"/>
    <w:rsid w:val="00860E8B"/>
    <w:rsid w:val="00861FF9"/>
    <w:rsid w:val="00862768"/>
    <w:rsid w:val="0086308F"/>
    <w:rsid w:val="008631D9"/>
    <w:rsid w:val="00864C1C"/>
    <w:rsid w:val="0087007A"/>
    <w:rsid w:val="0087072C"/>
    <w:rsid w:val="00887B3C"/>
    <w:rsid w:val="00890084"/>
    <w:rsid w:val="008941BC"/>
    <w:rsid w:val="008A2398"/>
    <w:rsid w:val="008A4328"/>
    <w:rsid w:val="008B3EE9"/>
    <w:rsid w:val="008B4CAB"/>
    <w:rsid w:val="008B76B9"/>
    <w:rsid w:val="008D0224"/>
    <w:rsid w:val="008E0EDB"/>
    <w:rsid w:val="008F0A5E"/>
    <w:rsid w:val="008F15A2"/>
    <w:rsid w:val="008F4221"/>
    <w:rsid w:val="009043B4"/>
    <w:rsid w:val="00913736"/>
    <w:rsid w:val="009310F6"/>
    <w:rsid w:val="00940585"/>
    <w:rsid w:val="009435FA"/>
    <w:rsid w:val="009460B1"/>
    <w:rsid w:val="00952320"/>
    <w:rsid w:val="00952639"/>
    <w:rsid w:val="00957331"/>
    <w:rsid w:val="009639A0"/>
    <w:rsid w:val="009706ED"/>
    <w:rsid w:val="009745E8"/>
    <w:rsid w:val="00977DAF"/>
    <w:rsid w:val="0098656D"/>
    <w:rsid w:val="009A11F2"/>
    <w:rsid w:val="009B374C"/>
    <w:rsid w:val="009B70CF"/>
    <w:rsid w:val="009B7D89"/>
    <w:rsid w:val="009D0914"/>
    <w:rsid w:val="009D2B0E"/>
    <w:rsid w:val="009D34AC"/>
    <w:rsid w:val="009E24B2"/>
    <w:rsid w:val="00A039E4"/>
    <w:rsid w:val="00A05D1B"/>
    <w:rsid w:val="00A123F1"/>
    <w:rsid w:val="00A124A0"/>
    <w:rsid w:val="00A124B7"/>
    <w:rsid w:val="00A13D03"/>
    <w:rsid w:val="00A25645"/>
    <w:rsid w:val="00A3311A"/>
    <w:rsid w:val="00A33A97"/>
    <w:rsid w:val="00A354C6"/>
    <w:rsid w:val="00A4201C"/>
    <w:rsid w:val="00A43FEA"/>
    <w:rsid w:val="00A520D6"/>
    <w:rsid w:val="00A727F6"/>
    <w:rsid w:val="00A72F2C"/>
    <w:rsid w:val="00A93567"/>
    <w:rsid w:val="00AB3370"/>
    <w:rsid w:val="00AB64A2"/>
    <w:rsid w:val="00AC3C03"/>
    <w:rsid w:val="00AC5316"/>
    <w:rsid w:val="00AE1BD4"/>
    <w:rsid w:val="00AE4371"/>
    <w:rsid w:val="00B32BCB"/>
    <w:rsid w:val="00B35D90"/>
    <w:rsid w:val="00B362A9"/>
    <w:rsid w:val="00B42591"/>
    <w:rsid w:val="00B503E7"/>
    <w:rsid w:val="00B505E9"/>
    <w:rsid w:val="00B5663E"/>
    <w:rsid w:val="00B64EC7"/>
    <w:rsid w:val="00B80E5F"/>
    <w:rsid w:val="00B92E74"/>
    <w:rsid w:val="00B95491"/>
    <w:rsid w:val="00B9668A"/>
    <w:rsid w:val="00BA2A03"/>
    <w:rsid w:val="00BA6048"/>
    <w:rsid w:val="00BA7F57"/>
    <w:rsid w:val="00BA7F8C"/>
    <w:rsid w:val="00BC1481"/>
    <w:rsid w:val="00BC52BB"/>
    <w:rsid w:val="00BD1C4B"/>
    <w:rsid w:val="00BD4E48"/>
    <w:rsid w:val="00BE3927"/>
    <w:rsid w:val="00BF018D"/>
    <w:rsid w:val="00C116A0"/>
    <w:rsid w:val="00C13A9C"/>
    <w:rsid w:val="00C15D19"/>
    <w:rsid w:val="00C24761"/>
    <w:rsid w:val="00C26CE9"/>
    <w:rsid w:val="00C26EF1"/>
    <w:rsid w:val="00C61059"/>
    <w:rsid w:val="00C6545F"/>
    <w:rsid w:val="00C6593B"/>
    <w:rsid w:val="00C65E78"/>
    <w:rsid w:val="00C74DCF"/>
    <w:rsid w:val="00C7619E"/>
    <w:rsid w:val="00C8451E"/>
    <w:rsid w:val="00C851EC"/>
    <w:rsid w:val="00C8789E"/>
    <w:rsid w:val="00C950DF"/>
    <w:rsid w:val="00CA1DE7"/>
    <w:rsid w:val="00CB3896"/>
    <w:rsid w:val="00CD2D6B"/>
    <w:rsid w:val="00CD6B8B"/>
    <w:rsid w:val="00CE4158"/>
    <w:rsid w:val="00CE661B"/>
    <w:rsid w:val="00CF3280"/>
    <w:rsid w:val="00CF5B05"/>
    <w:rsid w:val="00D00953"/>
    <w:rsid w:val="00D05D91"/>
    <w:rsid w:val="00D06700"/>
    <w:rsid w:val="00D103D2"/>
    <w:rsid w:val="00D14B8D"/>
    <w:rsid w:val="00D1711D"/>
    <w:rsid w:val="00D2439F"/>
    <w:rsid w:val="00D25E99"/>
    <w:rsid w:val="00D438AE"/>
    <w:rsid w:val="00D45183"/>
    <w:rsid w:val="00D54E85"/>
    <w:rsid w:val="00D55B42"/>
    <w:rsid w:val="00D7004E"/>
    <w:rsid w:val="00D87081"/>
    <w:rsid w:val="00D9412C"/>
    <w:rsid w:val="00DB1CDB"/>
    <w:rsid w:val="00DD76F0"/>
    <w:rsid w:val="00DD7D11"/>
    <w:rsid w:val="00DE0DBB"/>
    <w:rsid w:val="00DE28FB"/>
    <w:rsid w:val="00DE30F6"/>
    <w:rsid w:val="00DF5729"/>
    <w:rsid w:val="00E01FA5"/>
    <w:rsid w:val="00E02774"/>
    <w:rsid w:val="00E12FE5"/>
    <w:rsid w:val="00E156C9"/>
    <w:rsid w:val="00E177B3"/>
    <w:rsid w:val="00E267C2"/>
    <w:rsid w:val="00E27612"/>
    <w:rsid w:val="00E30CCD"/>
    <w:rsid w:val="00E34213"/>
    <w:rsid w:val="00E561DF"/>
    <w:rsid w:val="00E667CD"/>
    <w:rsid w:val="00E80687"/>
    <w:rsid w:val="00E83E45"/>
    <w:rsid w:val="00E8704C"/>
    <w:rsid w:val="00E95B54"/>
    <w:rsid w:val="00EA6C0E"/>
    <w:rsid w:val="00EA70EA"/>
    <w:rsid w:val="00EB5F9A"/>
    <w:rsid w:val="00EC1C29"/>
    <w:rsid w:val="00EC340F"/>
    <w:rsid w:val="00EC3DCF"/>
    <w:rsid w:val="00EC630B"/>
    <w:rsid w:val="00EE571F"/>
    <w:rsid w:val="00EE6879"/>
    <w:rsid w:val="00EF20FB"/>
    <w:rsid w:val="00EF5BD6"/>
    <w:rsid w:val="00EF5F01"/>
    <w:rsid w:val="00EF748C"/>
    <w:rsid w:val="00F06904"/>
    <w:rsid w:val="00F06F35"/>
    <w:rsid w:val="00F13958"/>
    <w:rsid w:val="00F1458B"/>
    <w:rsid w:val="00F1798D"/>
    <w:rsid w:val="00F37834"/>
    <w:rsid w:val="00F50E33"/>
    <w:rsid w:val="00F559AE"/>
    <w:rsid w:val="00F62B00"/>
    <w:rsid w:val="00F659F3"/>
    <w:rsid w:val="00F66DB8"/>
    <w:rsid w:val="00F75EBE"/>
    <w:rsid w:val="00F92CD8"/>
    <w:rsid w:val="00FA30C2"/>
    <w:rsid w:val="00FA7716"/>
    <w:rsid w:val="00FA7F8F"/>
    <w:rsid w:val="00FC48F3"/>
    <w:rsid w:val="00FC7119"/>
    <w:rsid w:val="00FE1897"/>
    <w:rsid w:val="00FE6683"/>
    <w:rsid w:val="00FF5835"/>
    <w:rsid w:val="00FF5D79"/>
    <w:rsid w:val="00FF75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471F2FE"/>
  <w15:docId w15:val="{DE71DDCF-3F31-406B-A1E5-0352E860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autoSpaceDE w:val="0"/>
      <w:autoSpaceDN w:val="0"/>
      <w:adjustRightInd w:val="0"/>
      <w:textAlignment w:val="baseline"/>
    </w:pPr>
    <w:rPr>
      <w:sz w:val="24"/>
    </w:rPr>
  </w:style>
  <w:style w:type="paragraph" w:styleId="Titolo1">
    <w:name w:val="heading 1"/>
    <w:basedOn w:val="Normale"/>
    <w:next w:val="Normale"/>
    <w:qFormat/>
    <w:pPr>
      <w:keepNext/>
      <w:tabs>
        <w:tab w:val="left" w:pos="284"/>
      </w:tabs>
      <w:spacing w:before="60" w:after="60"/>
      <w:outlineLvl w:val="0"/>
    </w:pPr>
    <w:rPr>
      <w:rFonts w:ascii="Arial" w:hAnsi="Arial" w:cs="Arial"/>
      <w:b/>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rizzointerno">
    <w:name w:val="Indirizzo interno"/>
    <w:basedOn w:val="Corpotesto"/>
    <w:pPr>
      <w:spacing w:after="0" w:line="240" w:lineRule="atLeast"/>
    </w:pPr>
    <w:rPr>
      <w:rFonts w:ascii="Garamond" w:hAnsi="Garamond"/>
      <w:kern w:val="18"/>
    </w:rPr>
  </w:style>
  <w:style w:type="paragraph" w:styleId="Corpotesto">
    <w:name w:val="Body Text"/>
    <w:basedOn w:val="Normale"/>
    <w:pPr>
      <w:spacing w:after="120"/>
    </w:p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Corpodeltesto2">
    <w:name w:val="Body Text 2"/>
    <w:basedOn w:val="Normale"/>
    <w:pPr>
      <w:tabs>
        <w:tab w:val="left" w:pos="284"/>
        <w:tab w:val="right" w:pos="1418"/>
      </w:tabs>
      <w:spacing w:before="60" w:after="60"/>
    </w:pPr>
    <w:rPr>
      <w:rFonts w:ascii="Arial" w:hAnsi="Arial" w:cs="Arial"/>
      <w:b/>
      <w:sz w:val="16"/>
      <w:szCs w:val="16"/>
    </w:rPr>
  </w:style>
  <w:style w:type="character" w:customStyle="1" w:styleId="xbe">
    <w:name w:val="_xbe"/>
    <w:rsid w:val="006E004C"/>
  </w:style>
  <w:style w:type="character" w:customStyle="1" w:styleId="qug">
    <w:name w:val="_qug"/>
    <w:rsid w:val="006E004C"/>
  </w:style>
  <w:style w:type="character" w:customStyle="1" w:styleId="longtext">
    <w:name w:val="long_text"/>
    <w:rsid w:val="00775196"/>
  </w:style>
  <w:style w:type="character" w:customStyle="1" w:styleId="st">
    <w:name w:val="st"/>
    <w:rsid w:val="00D87081"/>
  </w:style>
  <w:style w:type="character" w:styleId="Enfasicorsivo">
    <w:name w:val="Emphasis"/>
    <w:uiPriority w:val="20"/>
    <w:qFormat/>
    <w:rsid w:val="00D87081"/>
    <w:rPr>
      <w:i/>
      <w:iCs/>
    </w:rPr>
  </w:style>
  <w:style w:type="paragraph" w:customStyle="1" w:styleId="BasicParagraph">
    <w:name w:val="[Basic Paragraph]"/>
    <w:basedOn w:val="Normale"/>
    <w:uiPriority w:val="99"/>
    <w:rsid w:val="00265D46"/>
    <w:pPr>
      <w:widowControl w:val="0"/>
      <w:overflowPunct/>
      <w:spacing w:line="288" w:lineRule="auto"/>
      <w:textAlignment w:val="center"/>
    </w:pPr>
    <w:rPr>
      <w:rFonts w:ascii="MinionPro-Regular" w:hAnsi="MinionPro-Regular" w:cs="MinionPro-Regular"/>
      <w:color w:val="000000"/>
      <w:szCs w:val="24"/>
      <w:lang w:val="en-GB"/>
    </w:rPr>
  </w:style>
  <w:style w:type="paragraph" w:styleId="Paragrafoelenco">
    <w:name w:val="List Paragraph"/>
    <w:basedOn w:val="Normale"/>
    <w:uiPriority w:val="72"/>
    <w:rsid w:val="00CB3896"/>
    <w:pPr>
      <w:ind w:left="720"/>
      <w:contextualSpacing/>
    </w:pPr>
  </w:style>
  <w:style w:type="table" w:styleId="Grigliatabella">
    <w:name w:val="Table Grid"/>
    <w:basedOn w:val="Tabellanormale"/>
    <w:uiPriority w:val="59"/>
    <w:rsid w:val="00324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66"/>
    <w:semiHidden/>
    <w:rsid w:val="00FE18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09460">
      <w:bodyDiv w:val="1"/>
      <w:marLeft w:val="0"/>
      <w:marRight w:val="0"/>
      <w:marTop w:val="0"/>
      <w:marBottom w:val="0"/>
      <w:divBdr>
        <w:top w:val="none" w:sz="0" w:space="0" w:color="auto"/>
        <w:left w:val="none" w:sz="0" w:space="0" w:color="auto"/>
        <w:bottom w:val="none" w:sz="0" w:space="0" w:color="auto"/>
        <w:right w:val="none" w:sz="0" w:space="0" w:color="auto"/>
      </w:divBdr>
    </w:div>
    <w:div w:id="347341887">
      <w:bodyDiv w:val="1"/>
      <w:marLeft w:val="0"/>
      <w:marRight w:val="0"/>
      <w:marTop w:val="0"/>
      <w:marBottom w:val="0"/>
      <w:divBdr>
        <w:top w:val="none" w:sz="0" w:space="0" w:color="auto"/>
        <w:left w:val="none" w:sz="0" w:space="0" w:color="auto"/>
        <w:bottom w:val="none" w:sz="0" w:space="0" w:color="auto"/>
        <w:right w:val="none" w:sz="0" w:space="0" w:color="auto"/>
      </w:divBdr>
    </w:div>
    <w:div w:id="406616967">
      <w:bodyDiv w:val="1"/>
      <w:marLeft w:val="0"/>
      <w:marRight w:val="0"/>
      <w:marTop w:val="0"/>
      <w:marBottom w:val="0"/>
      <w:divBdr>
        <w:top w:val="none" w:sz="0" w:space="0" w:color="auto"/>
        <w:left w:val="none" w:sz="0" w:space="0" w:color="auto"/>
        <w:bottom w:val="none" w:sz="0" w:space="0" w:color="auto"/>
        <w:right w:val="none" w:sz="0" w:space="0" w:color="auto"/>
      </w:divBdr>
    </w:div>
    <w:div w:id="660735442">
      <w:bodyDiv w:val="1"/>
      <w:marLeft w:val="0"/>
      <w:marRight w:val="0"/>
      <w:marTop w:val="0"/>
      <w:marBottom w:val="0"/>
      <w:divBdr>
        <w:top w:val="none" w:sz="0" w:space="0" w:color="auto"/>
        <w:left w:val="none" w:sz="0" w:space="0" w:color="auto"/>
        <w:bottom w:val="none" w:sz="0" w:space="0" w:color="auto"/>
        <w:right w:val="none" w:sz="0" w:space="0" w:color="auto"/>
      </w:divBdr>
    </w:div>
    <w:div w:id="893009607">
      <w:bodyDiv w:val="1"/>
      <w:marLeft w:val="0"/>
      <w:marRight w:val="0"/>
      <w:marTop w:val="0"/>
      <w:marBottom w:val="0"/>
      <w:divBdr>
        <w:top w:val="none" w:sz="0" w:space="0" w:color="auto"/>
        <w:left w:val="none" w:sz="0" w:space="0" w:color="auto"/>
        <w:bottom w:val="none" w:sz="0" w:space="0" w:color="auto"/>
        <w:right w:val="none" w:sz="0" w:space="0" w:color="auto"/>
      </w:divBdr>
      <w:divsChild>
        <w:div w:id="355742495">
          <w:marLeft w:val="0"/>
          <w:marRight w:val="0"/>
          <w:marTop w:val="0"/>
          <w:marBottom w:val="0"/>
          <w:divBdr>
            <w:top w:val="none" w:sz="0" w:space="0" w:color="auto"/>
            <w:left w:val="none" w:sz="0" w:space="0" w:color="auto"/>
            <w:bottom w:val="none" w:sz="0" w:space="0" w:color="auto"/>
            <w:right w:val="none" w:sz="0" w:space="0" w:color="auto"/>
          </w:divBdr>
          <w:divsChild>
            <w:div w:id="2013995631">
              <w:marLeft w:val="0"/>
              <w:marRight w:val="0"/>
              <w:marTop w:val="0"/>
              <w:marBottom w:val="0"/>
              <w:divBdr>
                <w:top w:val="none" w:sz="0" w:space="0" w:color="auto"/>
                <w:left w:val="none" w:sz="0" w:space="0" w:color="auto"/>
                <w:bottom w:val="none" w:sz="0" w:space="0" w:color="auto"/>
                <w:right w:val="none" w:sz="0" w:space="0" w:color="auto"/>
              </w:divBdr>
              <w:divsChild>
                <w:div w:id="15705052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19393758">
          <w:marLeft w:val="0"/>
          <w:marRight w:val="0"/>
          <w:marTop w:val="0"/>
          <w:marBottom w:val="0"/>
          <w:divBdr>
            <w:top w:val="none" w:sz="0" w:space="0" w:color="auto"/>
            <w:left w:val="none" w:sz="0" w:space="0" w:color="auto"/>
            <w:bottom w:val="none" w:sz="0" w:space="0" w:color="auto"/>
            <w:right w:val="none" w:sz="0" w:space="0" w:color="auto"/>
          </w:divBdr>
          <w:divsChild>
            <w:div w:id="1101220553">
              <w:marLeft w:val="0"/>
              <w:marRight w:val="0"/>
              <w:marTop w:val="0"/>
              <w:marBottom w:val="0"/>
              <w:divBdr>
                <w:top w:val="none" w:sz="0" w:space="0" w:color="auto"/>
                <w:left w:val="none" w:sz="0" w:space="0" w:color="auto"/>
                <w:bottom w:val="none" w:sz="0" w:space="0" w:color="auto"/>
                <w:right w:val="none" w:sz="0" w:space="0" w:color="auto"/>
              </w:divBdr>
              <w:divsChild>
                <w:div w:id="16270794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93155188">
      <w:bodyDiv w:val="1"/>
      <w:marLeft w:val="0"/>
      <w:marRight w:val="0"/>
      <w:marTop w:val="0"/>
      <w:marBottom w:val="0"/>
      <w:divBdr>
        <w:top w:val="none" w:sz="0" w:space="0" w:color="auto"/>
        <w:left w:val="none" w:sz="0" w:space="0" w:color="auto"/>
        <w:bottom w:val="none" w:sz="0" w:space="0" w:color="auto"/>
        <w:right w:val="none" w:sz="0" w:space="0" w:color="auto"/>
      </w:divBdr>
    </w:div>
    <w:div w:id="933627941">
      <w:bodyDiv w:val="1"/>
      <w:marLeft w:val="0"/>
      <w:marRight w:val="0"/>
      <w:marTop w:val="0"/>
      <w:marBottom w:val="0"/>
      <w:divBdr>
        <w:top w:val="none" w:sz="0" w:space="0" w:color="auto"/>
        <w:left w:val="none" w:sz="0" w:space="0" w:color="auto"/>
        <w:bottom w:val="none" w:sz="0" w:space="0" w:color="auto"/>
        <w:right w:val="none" w:sz="0" w:space="0" w:color="auto"/>
      </w:divBdr>
    </w:div>
    <w:div w:id="1014726544">
      <w:bodyDiv w:val="1"/>
      <w:marLeft w:val="0"/>
      <w:marRight w:val="0"/>
      <w:marTop w:val="0"/>
      <w:marBottom w:val="0"/>
      <w:divBdr>
        <w:top w:val="none" w:sz="0" w:space="0" w:color="auto"/>
        <w:left w:val="none" w:sz="0" w:space="0" w:color="auto"/>
        <w:bottom w:val="none" w:sz="0" w:space="0" w:color="auto"/>
        <w:right w:val="none" w:sz="0" w:space="0" w:color="auto"/>
      </w:divBdr>
    </w:div>
    <w:div w:id="1015766951">
      <w:bodyDiv w:val="1"/>
      <w:marLeft w:val="0"/>
      <w:marRight w:val="0"/>
      <w:marTop w:val="0"/>
      <w:marBottom w:val="0"/>
      <w:divBdr>
        <w:top w:val="none" w:sz="0" w:space="0" w:color="auto"/>
        <w:left w:val="none" w:sz="0" w:space="0" w:color="auto"/>
        <w:bottom w:val="none" w:sz="0" w:space="0" w:color="auto"/>
        <w:right w:val="none" w:sz="0" w:space="0" w:color="auto"/>
      </w:divBdr>
    </w:div>
    <w:div w:id="1049570897">
      <w:bodyDiv w:val="1"/>
      <w:marLeft w:val="0"/>
      <w:marRight w:val="0"/>
      <w:marTop w:val="0"/>
      <w:marBottom w:val="0"/>
      <w:divBdr>
        <w:top w:val="none" w:sz="0" w:space="0" w:color="auto"/>
        <w:left w:val="none" w:sz="0" w:space="0" w:color="auto"/>
        <w:bottom w:val="none" w:sz="0" w:space="0" w:color="auto"/>
        <w:right w:val="none" w:sz="0" w:space="0" w:color="auto"/>
      </w:divBdr>
    </w:div>
    <w:div w:id="1166628980">
      <w:bodyDiv w:val="1"/>
      <w:marLeft w:val="0"/>
      <w:marRight w:val="0"/>
      <w:marTop w:val="0"/>
      <w:marBottom w:val="0"/>
      <w:divBdr>
        <w:top w:val="none" w:sz="0" w:space="0" w:color="auto"/>
        <w:left w:val="none" w:sz="0" w:space="0" w:color="auto"/>
        <w:bottom w:val="none" w:sz="0" w:space="0" w:color="auto"/>
        <w:right w:val="none" w:sz="0" w:space="0" w:color="auto"/>
      </w:divBdr>
    </w:div>
    <w:div w:id="1177618030">
      <w:bodyDiv w:val="1"/>
      <w:marLeft w:val="0"/>
      <w:marRight w:val="0"/>
      <w:marTop w:val="0"/>
      <w:marBottom w:val="0"/>
      <w:divBdr>
        <w:top w:val="none" w:sz="0" w:space="0" w:color="auto"/>
        <w:left w:val="none" w:sz="0" w:space="0" w:color="auto"/>
        <w:bottom w:val="none" w:sz="0" w:space="0" w:color="auto"/>
        <w:right w:val="none" w:sz="0" w:space="0" w:color="auto"/>
      </w:divBdr>
    </w:div>
    <w:div w:id="1198735616">
      <w:bodyDiv w:val="1"/>
      <w:marLeft w:val="0"/>
      <w:marRight w:val="0"/>
      <w:marTop w:val="0"/>
      <w:marBottom w:val="0"/>
      <w:divBdr>
        <w:top w:val="none" w:sz="0" w:space="0" w:color="auto"/>
        <w:left w:val="none" w:sz="0" w:space="0" w:color="auto"/>
        <w:bottom w:val="none" w:sz="0" w:space="0" w:color="auto"/>
        <w:right w:val="none" w:sz="0" w:space="0" w:color="auto"/>
      </w:divBdr>
    </w:div>
    <w:div w:id="1389496947">
      <w:bodyDiv w:val="1"/>
      <w:marLeft w:val="0"/>
      <w:marRight w:val="0"/>
      <w:marTop w:val="0"/>
      <w:marBottom w:val="0"/>
      <w:divBdr>
        <w:top w:val="none" w:sz="0" w:space="0" w:color="auto"/>
        <w:left w:val="none" w:sz="0" w:space="0" w:color="auto"/>
        <w:bottom w:val="none" w:sz="0" w:space="0" w:color="auto"/>
        <w:right w:val="none" w:sz="0" w:space="0" w:color="auto"/>
      </w:divBdr>
    </w:div>
    <w:div w:id="1503012138">
      <w:bodyDiv w:val="1"/>
      <w:marLeft w:val="0"/>
      <w:marRight w:val="0"/>
      <w:marTop w:val="0"/>
      <w:marBottom w:val="0"/>
      <w:divBdr>
        <w:top w:val="none" w:sz="0" w:space="0" w:color="auto"/>
        <w:left w:val="none" w:sz="0" w:space="0" w:color="auto"/>
        <w:bottom w:val="none" w:sz="0" w:space="0" w:color="auto"/>
        <w:right w:val="none" w:sz="0" w:space="0" w:color="auto"/>
      </w:divBdr>
    </w:div>
    <w:div w:id="1607956277">
      <w:bodyDiv w:val="1"/>
      <w:marLeft w:val="0"/>
      <w:marRight w:val="0"/>
      <w:marTop w:val="0"/>
      <w:marBottom w:val="0"/>
      <w:divBdr>
        <w:top w:val="none" w:sz="0" w:space="0" w:color="auto"/>
        <w:left w:val="none" w:sz="0" w:space="0" w:color="auto"/>
        <w:bottom w:val="none" w:sz="0" w:space="0" w:color="auto"/>
        <w:right w:val="none" w:sz="0" w:space="0" w:color="auto"/>
      </w:divBdr>
    </w:div>
    <w:div w:id="1651136634">
      <w:bodyDiv w:val="1"/>
      <w:marLeft w:val="0"/>
      <w:marRight w:val="0"/>
      <w:marTop w:val="0"/>
      <w:marBottom w:val="0"/>
      <w:divBdr>
        <w:top w:val="none" w:sz="0" w:space="0" w:color="auto"/>
        <w:left w:val="none" w:sz="0" w:space="0" w:color="auto"/>
        <w:bottom w:val="none" w:sz="0" w:space="0" w:color="auto"/>
        <w:right w:val="none" w:sz="0" w:space="0" w:color="auto"/>
      </w:divBdr>
    </w:div>
    <w:div w:id="1784809252">
      <w:bodyDiv w:val="1"/>
      <w:marLeft w:val="0"/>
      <w:marRight w:val="0"/>
      <w:marTop w:val="0"/>
      <w:marBottom w:val="0"/>
      <w:divBdr>
        <w:top w:val="none" w:sz="0" w:space="0" w:color="auto"/>
        <w:left w:val="none" w:sz="0" w:space="0" w:color="auto"/>
        <w:bottom w:val="none" w:sz="0" w:space="0" w:color="auto"/>
        <w:right w:val="none" w:sz="0" w:space="0" w:color="auto"/>
      </w:divBdr>
    </w:div>
    <w:div w:id="1855611801">
      <w:bodyDiv w:val="1"/>
      <w:marLeft w:val="0"/>
      <w:marRight w:val="0"/>
      <w:marTop w:val="0"/>
      <w:marBottom w:val="0"/>
      <w:divBdr>
        <w:top w:val="none" w:sz="0" w:space="0" w:color="auto"/>
        <w:left w:val="none" w:sz="0" w:space="0" w:color="auto"/>
        <w:bottom w:val="none" w:sz="0" w:space="0" w:color="auto"/>
        <w:right w:val="none" w:sz="0" w:space="0" w:color="auto"/>
      </w:divBdr>
    </w:div>
    <w:div w:id="1869829928">
      <w:bodyDiv w:val="1"/>
      <w:marLeft w:val="0"/>
      <w:marRight w:val="0"/>
      <w:marTop w:val="0"/>
      <w:marBottom w:val="0"/>
      <w:divBdr>
        <w:top w:val="none" w:sz="0" w:space="0" w:color="auto"/>
        <w:left w:val="none" w:sz="0" w:space="0" w:color="auto"/>
        <w:bottom w:val="none" w:sz="0" w:space="0" w:color="auto"/>
        <w:right w:val="none" w:sz="0" w:space="0" w:color="auto"/>
      </w:divBdr>
    </w:div>
    <w:div w:id="1950700551">
      <w:bodyDiv w:val="1"/>
      <w:marLeft w:val="0"/>
      <w:marRight w:val="0"/>
      <w:marTop w:val="0"/>
      <w:marBottom w:val="0"/>
      <w:divBdr>
        <w:top w:val="none" w:sz="0" w:space="0" w:color="auto"/>
        <w:left w:val="none" w:sz="0" w:space="0" w:color="auto"/>
        <w:bottom w:val="none" w:sz="0" w:space="0" w:color="auto"/>
        <w:right w:val="none" w:sz="0" w:space="0" w:color="auto"/>
      </w:divBdr>
    </w:div>
    <w:div w:id="1985499682">
      <w:bodyDiv w:val="1"/>
      <w:marLeft w:val="0"/>
      <w:marRight w:val="0"/>
      <w:marTop w:val="0"/>
      <w:marBottom w:val="0"/>
      <w:divBdr>
        <w:top w:val="none" w:sz="0" w:space="0" w:color="auto"/>
        <w:left w:val="none" w:sz="0" w:space="0" w:color="auto"/>
        <w:bottom w:val="none" w:sz="0" w:space="0" w:color="auto"/>
        <w:right w:val="none" w:sz="0" w:space="0" w:color="auto"/>
      </w:divBdr>
    </w:div>
    <w:div w:id="1989554359">
      <w:bodyDiv w:val="1"/>
      <w:marLeft w:val="0"/>
      <w:marRight w:val="0"/>
      <w:marTop w:val="0"/>
      <w:marBottom w:val="0"/>
      <w:divBdr>
        <w:top w:val="none" w:sz="0" w:space="0" w:color="auto"/>
        <w:left w:val="none" w:sz="0" w:space="0" w:color="auto"/>
        <w:bottom w:val="none" w:sz="0" w:space="0" w:color="auto"/>
        <w:right w:val="none" w:sz="0" w:space="0" w:color="auto"/>
      </w:divBdr>
    </w:div>
    <w:div w:id="2110662558">
      <w:bodyDiv w:val="1"/>
      <w:marLeft w:val="0"/>
      <w:marRight w:val="0"/>
      <w:marTop w:val="0"/>
      <w:marBottom w:val="0"/>
      <w:divBdr>
        <w:top w:val="none" w:sz="0" w:space="0" w:color="auto"/>
        <w:left w:val="none" w:sz="0" w:space="0" w:color="auto"/>
        <w:bottom w:val="none" w:sz="0" w:space="0" w:color="auto"/>
        <w:right w:val="none" w:sz="0" w:space="0" w:color="auto"/>
      </w:divBdr>
    </w:div>
    <w:div w:id="2117945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anR\Desktop\Lettera_euroth_ital_30100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3AD7D-EE81-4CE5-A11E-52C9A452E73C}">
  <ds:schemaRefs>
    <ds:schemaRef ds:uri="http://schemas.microsoft.com/sharepoint/v3/contenttype/forms"/>
  </ds:schemaRefs>
</ds:datastoreItem>
</file>

<file path=customXml/itemProps2.xml><?xml version="1.0" encoding="utf-8"?>
<ds:datastoreItem xmlns:ds="http://schemas.openxmlformats.org/officeDocument/2006/customXml" ds:itemID="{584A3629-0479-4CCA-9CF1-4C07BED35C8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6271a5ff-c52e-4876-9f2c-2ffae6494ce4"/>
  </ds:schemaRefs>
</ds:datastoreItem>
</file>

<file path=customXml/itemProps3.xml><?xml version="1.0" encoding="utf-8"?>
<ds:datastoreItem xmlns:ds="http://schemas.openxmlformats.org/officeDocument/2006/customXml" ds:itemID="{9018C134-725F-4A5A-97D3-CAFC100A08F7}">
  <ds:schemaRefs>
    <ds:schemaRef ds:uri="http://schemas.openxmlformats.org/officeDocument/2006/bibliography"/>
  </ds:schemaRefs>
</ds:datastoreItem>
</file>

<file path=customXml/itemProps4.xml><?xml version="1.0" encoding="utf-8"?>
<ds:datastoreItem xmlns:ds="http://schemas.openxmlformats.org/officeDocument/2006/customXml" ds:itemID="{58831253-5D03-4DEB-AF1D-D160FB1B8338}"/>
</file>

<file path=docProps/app.xml><?xml version="1.0" encoding="utf-8"?>
<Properties xmlns="http://schemas.openxmlformats.org/officeDocument/2006/extended-properties" xmlns:vt="http://schemas.openxmlformats.org/officeDocument/2006/docPropsVTypes">
  <Template>Lettera_euroth_ital_301006.dot</Template>
  <TotalTime>1</TotalTime>
  <Pages>3</Pages>
  <Words>1092</Words>
  <Characters>6225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EUROTHERM s.r.l.</Company>
  <LinksUpToDate>false</LinksUpToDate>
  <CharactersWithSpaces>7303</CharactersWithSpaces>
  <SharedDoc>false</SharedDoc>
  <HLinks>
    <vt:vector size="12" baseType="variant">
      <vt:variant>
        <vt:i4>6291583</vt:i4>
      </vt:variant>
      <vt:variant>
        <vt:i4>3</vt:i4>
      </vt:variant>
      <vt:variant>
        <vt:i4>0</vt:i4>
      </vt:variant>
      <vt:variant>
        <vt:i4>5</vt:i4>
      </vt:variant>
      <vt:variant>
        <vt:lpwstr>http://www.eurotherm.info/</vt:lpwstr>
      </vt:variant>
      <vt:variant>
        <vt:lpwstr/>
      </vt:variant>
      <vt:variant>
        <vt:i4>131115</vt:i4>
      </vt:variant>
      <vt:variant>
        <vt:i4>0</vt:i4>
      </vt:variant>
      <vt:variant>
        <vt:i4>0</vt:i4>
      </vt:variant>
      <vt:variant>
        <vt:i4>5</vt:i4>
      </vt:variant>
      <vt:variant>
        <vt:lpwstr>mailto:mai@eurotherm.info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KristianR</dc:creator>
  <cp:lastModifiedBy>Marjola Zgurati</cp:lastModifiedBy>
  <cp:revision>2</cp:revision>
  <cp:lastPrinted>2016-10-17T09:31:00Z</cp:lastPrinted>
  <dcterms:created xsi:type="dcterms:W3CDTF">2024-01-18T07:22:00Z</dcterms:created>
  <dcterms:modified xsi:type="dcterms:W3CDTF">2024-01-18T07:22:00Z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0x010100DD89EC51D998EC4996D904DCDC4C6281</vt:lpwstr>
  </property>
</Properties>
</file>